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511" w:rsidRPr="00230093" w:rsidRDefault="00486511" w:rsidP="00A10F5E">
      <w:pPr>
        <w:spacing w:after="0" w:line="240" w:lineRule="auto"/>
        <w:ind w:firstLine="708"/>
        <w:jc w:val="right"/>
        <w:rPr>
          <w:rFonts w:ascii="Times New Roman" w:hAnsi="Times New Roman" w:cs="Times New Roman"/>
          <w:b/>
        </w:rPr>
      </w:pPr>
      <w:r w:rsidRPr="00230093">
        <w:rPr>
          <w:rFonts w:ascii="Times New Roman" w:hAnsi="Times New Roman" w:cs="Times New Roman"/>
          <w:b/>
        </w:rPr>
        <w:t>Приложение № 3а</w:t>
      </w:r>
    </w:p>
    <w:p w:rsidR="00230093" w:rsidRPr="00B00A03" w:rsidRDefault="00230093" w:rsidP="00A10F5E">
      <w:pPr>
        <w:spacing w:after="0" w:line="240" w:lineRule="auto"/>
        <w:jc w:val="center"/>
        <w:rPr>
          <w:rFonts w:ascii="Times New Roman" w:hAnsi="Times New Roman" w:cs="Times New Roman"/>
          <w:b/>
          <w:sz w:val="32"/>
          <w:szCs w:val="32"/>
          <w:lang w:eastAsia="bg-BG"/>
        </w:rPr>
      </w:pPr>
      <w:r w:rsidRPr="00B00A03">
        <w:rPr>
          <w:rFonts w:ascii="Times New Roman" w:hAnsi="Times New Roman" w:cs="Times New Roman"/>
          <w:b/>
          <w:sz w:val="32"/>
          <w:szCs w:val="32"/>
          <w:lang w:eastAsia="bg-BG"/>
        </w:rPr>
        <w:t xml:space="preserve">Ключови индикатори за изпълнение на политиките и целеви стойности </w:t>
      </w:r>
      <w:r w:rsidR="004D60F5" w:rsidRPr="00B00A03">
        <w:rPr>
          <w:rFonts w:ascii="Times New Roman" w:hAnsi="Times New Roman" w:cs="Times New Roman"/>
          <w:b/>
          <w:sz w:val="32"/>
          <w:szCs w:val="32"/>
          <w:lang w:eastAsia="bg-BG"/>
        </w:rPr>
        <w:t>за периода 20</w:t>
      </w:r>
      <w:r w:rsidR="002F026B">
        <w:rPr>
          <w:rFonts w:ascii="Times New Roman" w:hAnsi="Times New Roman" w:cs="Times New Roman"/>
          <w:b/>
          <w:sz w:val="32"/>
          <w:szCs w:val="32"/>
          <w:lang w:eastAsia="bg-BG"/>
        </w:rPr>
        <w:t>2</w:t>
      </w:r>
      <w:r w:rsidR="00F42F0B">
        <w:rPr>
          <w:rFonts w:ascii="Times New Roman" w:hAnsi="Times New Roman" w:cs="Times New Roman"/>
          <w:b/>
          <w:sz w:val="32"/>
          <w:szCs w:val="32"/>
          <w:lang w:val="en-US" w:eastAsia="bg-BG"/>
        </w:rPr>
        <w:t>2</w:t>
      </w:r>
      <w:r w:rsidR="004D60F5" w:rsidRPr="00B00A03">
        <w:rPr>
          <w:rFonts w:ascii="Times New Roman" w:hAnsi="Times New Roman" w:cs="Times New Roman"/>
          <w:b/>
          <w:sz w:val="32"/>
          <w:szCs w:val="32"/>
          <w:lang w:eastAsia="bg-BG"/>
        </w:rPr>
        <w:t>-202</w:t>
      </w:r>
      <w:r w:rsidR="00F42F0B">
        <w:rPr>
          <w:rFonts w:ascii="Times New Roman" w:hAnsi="Times New Roman" w:cs="Times New Roman"/>
          <w:b/>
          <w:sz w:val="32"/>
          <w:szCs w:val="32"/>
          <w:lang w:val="en-US" w:eastAsia="bg-BG"/>
        </w:rPr>
        <w:t>4</w:t>
      </w:r>
      <w:r w:rsidRPr="00B00A03">
        <w:rPr>
          <w:rFonts w:ascii="Times New Roman" w:hAnsi="Times New Roman" w:cs="Times New Roman"/>
          <w:b/>
          <w:sz w:val="32"/>
          <w:szCs w:val="32"/>
          <w:lang w:eastAsia="bg-BG"/>
        </w:rPr>
        <w:t xml:space="preserve"> г. </w:t>
      </w:r>
    </w:p>
    <w:p w:rsidR="00230093" w:rsidRPr="00B00A03" w:rsidRDefault="00230093" w:rsidP="00A10F5E">
      <w:pPr>
        <w:pStyle w:val="Heading1"/>
        <w:ind w:firstLine="0"/>
        <w:jc w:val="center"/>
        <w:rPr>
          <w:caps w:val="0"/>
          <w:sz w:val="32"/>
          <w:szCs w:val="32"/>
        </w:rPr>
      </w:pPr>
      <w:r w:rsidRPr="00B00A03">
        <w:rPr>
          <w:caps w:val="0"/>
          <w:sz w:val="32"/>
          <w:szCs w:val="32"/>
        </w:rPr>
        <w:t xml:space="preserve">на </w:t>
      </w:r>
      <w:r w:rsidR="00032557" w:rsidRPr="00B00A03">
        <w:rPr>
          <w:caps w:val="0"/>
          <w:sz w:val="32"/>
          <w:szCs w:val="32"/>
        </w:rPr>
        <w:t>Министерство на регионалното развитие и благоустройството</w:t>
      </w:r>
    </w:p>
    <w:p w:rsidR="00230093" w:rsidRPr="00410F7A" w:rsidRDefault="00230093" w:rsidP="00A10F5E">
      <w:pPr>
        <w:spacing w:after="0" w:line="240" w:lineRule="auto"/>
        <w:ind w:firstLine="708"/>
        <w:jc w:val="both"/>
        <w:rPr>
          <w:rFonts w:ascii="Times New Roman" w:hAnsi="Times New Roman" w:cs="Times New Roman"/>
        </w:rPr>
      </w:pPr>
    </w:p>
    <w:p w:rsidR="006B2804" w:rsidRDefault="006B2804" w:rsidP="00A10F5E">
      <w:pPr>
        <w:keepNext/>
        <w:snapToGrid w:val="0"/>
        <w:spacing w:after="0" w:line="240" w:lineRule="auto"/>
        <w:ind w:firstLine="567"/>
        <w:jc w:val="both"/>
        <w:outlineLvl w:val="0"/>
        <w:rPr>
          <w:rFonts w:ascii="Times New Roman" w:hAnsi="Times New Roman" w:cs="Times New Roman"/>
          <w:b/>
          <w:i/>
          <w:color w:val="0000CC"/>
        </w:rPr>
      </w:pPr>
      <w:r w:rsidRPr="0025354B">
        <w:rPr>
          <w:rFonts w:ascii="Times New Roman" w:eastAsia="Batang" w:hAnsi="Times New Roman" w:cs="Times New Roman"/>
          <w:b/>
          <w:i/>
          <w:color w:val="0000CC"/>
          <w:lang w:val="ru-RU" w:eastAsia="ko-KR"/>
        </w:rPr>
        <w:t xml:space="preserve">2100.01.00  </w:t>
      </w:r>
      <w:r w:rsidR="00740960" w:rsidRPr="0025354B">
        <w:rPr>
          <w:rFonts w:ascii="Times New Roman" w:eastAsia="Batang" w:hAnsi="Times New Roman" w:cs="Times New Roman"/>
          <w:b/>
          <w:i/>
          <w:color w:val="0000CC"/>
          <w:lang w:eastAsia="ko-KR"/>
        </w:rPr>
        <w:t>„</w:t>
      </w:r>
      <w:r w:rsidRPr="0025354B">
        <w:rPr>
          <w:rFonts w:ascii="Times New Roman" w:eastAsia="Batang" w:hAnsi="Times New Roman" w:cs="Times New Roman"/>
          <w:b/>
          <w:i/>
          <w:color w:val="0000CC"/>
          <w:lang w:val="ru-RU" w:eastAsia="ko-KR"/>
        </w:rPr>
        <w:t>ПОЛИТИКА ЗА ИНТЕГРИРАНО РАЗВИТИЕ НА РЕГИОНИТЕ</w:t>
      </w:r>
      <w:r w:rsidR="00E45996">
        <w:rPr>
          <w:rFonts w:ascii="Times New Roman" w:eastAsia="Batang" w:hAnsi="Times New Roman" w:cs="Times New Roman"/>
          <w:b/>
          <w:i/>
          <w:color w:val="0000CC"/>
          <w:lang w:val="ru-RU" w:eastAsia="ko-KR"/>
        </w:rPr>
        <w:t xml:space="preserve"> ЗА ПОСТИГАНЕ НА РАСТЕЖ И </w:t>
      </w:r>
      <w:r w:rsidRPr="0025354B">
        <w:rPr>
          <w:rFonts w:ascii="Times New Roman" w:eastAsia="Batang" w:hAnsi="Times New Roman" w:cs="Times New Roman"/>
          <w:b/>
          <w:i/>
          <w:color w:val="0000CC"/>
          <w:lang w:val="ru-RU" w:eastAsia="ko-KR"/>
        </w:rPr>
        <w:t>ПОДОБРЯВАНЕ КАЧЕСТВОТО НА ЖИЗНЕНАТА СРЕДА</w:t>
      </w:r>
      <w:r w:rsidR="00740960" w:rsidRPr="0025354B">
        <w:rPr>
          <w:rFonts w:ascii="Times New Roman" w:hAnsi="Times New Roman" w:cs="Times New Roman"/>
          <w:b/>
          <w:i/>
          <w:color w:val="0000CC"/>
        </w:rPr>
        <w:t>“</w:t>
      </w:r>
    </w:p>
    <w:p w:rsidR="00B57C85" w:rsidRPr="0025354B" w:rsidRDefault="00B57C85" w:rsidP="00A10F5E">
      <w:pPr>
        <w:keepNext/>
        <w:snapToGrid w:val="0"/>
        <w:spacing w:after="0" w:line="240" w:lineRule="auto"/>
        <w:ind w:firstLine="567"/>
        <w:jc w:val="both"/>
        <w:outlineLvl w:val="0"/>
        <w:rPr>
          <w:rFonts w:ascii="Times New Roman" w:eastAsia="Batang" w:hAnsi="Times New Roman" w:cs="Times New Roman"/>
          <w:b/>
          <w:i/>
          <w:color w:val="0000CC"/>
          <w:lang w:val="en-US" w:eastAsia="ko-KR"/>
        </w:rPr>
      </w:pPr>
    </w:p>
    <w:p w:rsidR="006B2804" w:rsidRPr="0025354B" w:rsidRDefault="00091C5B" w:rsidP="00A10F5E">
      <w:pPr>
        <w:pStyle w:val="ListParagraph"/>
        <w:numPr>
          <w:ilvl w:val="0"/>
          <w:numId w:val="1"/>
        </w:numPr>
        <w:spacing w:after="0" w:line="240" w:lineRule="auto"/>
        <w:ind w:left="0" w:firstLine="567"/>
        <w:jc w:val="both"/>
        <w:rPr>
          <w:rFonts w:ascii="Times New Roman" w:hAnsi="Times New Roman" w:cs="Times New Roman"/>
          <w:b/>
          <w:i/>
          <w:color w:val="0000CC"/>
        </w:rPr>
      </w:pPr>
      <w:r w:rsidRPr="0025354B">
        <w:rPr>
          <w:rFonts w:ascii="Times New Roman" w:hAnsi="Times New Roman" w:cs="Times New Roman"/>
          <w:b/>
          <w:i/>
          <w:color w:val="0000CC"/>
        </w:rPr>
        <w:t>Кратко описание на обхвата на област</w:t>
      </w:r>
      <w:r w:rsidR="00766A55" w:rsidRPr="0025354B">
        <w:rPr>
          <w:rFonts w:ascii="Times New Roman" w:hAnsi="Times New Roman" w:cs="Times New Roman"/>
          <w:b/>
          <w:i/>
          <w:color w:val="0000CC"/>
        </w:rPr>
        <w:t>та на политиката</w:t>
      </w:r>
      <w:r w:rsidRPr="0025354B">
        <w:rPr>
          <w:rFonts w:ascii="Times New Roman" w:hAnsi="Times New Roman" w:cs="Times New Roman"/>
          <w:b/>
          <w:i/>
          <w:color w:val="0000CC"/>
        </w:rPr>
        <w:t>, за ко</w:t>
      </w:r>
      <w:r w:rsidR="00766A55" w:rsidRPr="0025354B">
        <w:rPr>
          <w:rFonts w:ascii="Times New Roman" w:hAnsi="Times New Roman" w:cs="Times New Roman"/>
          <w:b/>
          <w:i/>
          <w:color w:val="0000CC"/>
        </w:rPr>
        <w:t>ято</w:t>
      </w:r>
      <w:r w:rsidRPr="0025354B">
        <w:rPr>
          <w:rFonts w:ascii="Times New Roman" w:hAnsi="Times New Roman" w:cs="Times New Roman"/>
          <w:b/>
          <w:i/>
          <w:color w:val="0000CC"/>
        </w:rPr>
        <w:t xml:space="preserve"> ПРБ отговаря</w:t>
      </w:r>
    </w:p>
    <w:p w:rsidR="005B4591" w:rsidRPr="00983AD9" w:rsidRDefault="005B4591" w:rsidP="00A10F5E">
      <w:pPr>
        <w:tabs>
          <w:tab w:val="left" w:pos="851"/>
        </w:tabs>
        <w:spacing w:after="0" w:line="240" w:lineRule="auto"/>
        <w:ind w:firstLine="567"/>
        <w:jc w:val="both"/>
        <w:rPr>
          <w:rFonts w:ascii="Calibri" w:eastAsia="Calibri" w:hAnsi="Calibri" w:cs="Times New Roman"/>
        </w:rPr>
      </w:pPr>
      <w:r w:rsidRPr="0025354B">
        <w:rPr>
          <w:rFonts w:ascii="Times New Roman" w:eastAsia="Times New Roman" w:hAnsi="Times New Roman" w:cs="Times New Roman"/>
          <w:lang w:eastAsia="bg-BG"/>
        </w:rPr>
        <w:t>Политиката в областта на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е насочена към подобряване качеството на</w:t>
      </w:r>
      <w:r w:rsidRPr="0025354B">
        <w:rPr>
          <w:rFonts w:ascii="Times New Roman" w:eastAsia="Calibri" w:hAnsi="Times New Roman" w:cs="Times New Roman"/>
        </w:rPr>
        <w:t xml:space="preserve"> жизнената среда на българските граждани и превръщането на регионите в привлекателно място за инвестиции и бизнес, както и прилагане на целенасочени мерки за подпомагане на регионите, изоставащи с развитието си, като се отчитат специфичните им нужди и местния потенциал за развитие.</w:t>
      </w:r>
      <w:r w:rsidRPr="0025354B">
        <w:rPr>
          <w:rFonts w:ascii="Times New Roman" w:eastAsia="Times New Roman" w:hAnsi="Times New Roman" w:cs="Times New Roman"/>
          <w:lang w:eastAsia="bg-BG"/>
        </w:rPr>
        <w:t xml:space="preserve">  Ключовите индикатори за изпълнение на политиката са в съответствие с целите на </w:t>
      </w:r>
      <w:r w:rsidR="00983AD9">
        <w:rPr>
          <w:rFonts w:ascii="Times New Roman" w:eastAsia="Times New Roman" w:hAnsi="Times New Roman" w:cs="Times New Roman"/>
          <w:lang w:eastAsia="bg-BG"/>
        </w:rPr>
        <w:t>правителството.</w:t>
      </w:r>
    </w:p>
    <w:p w:rsidR="005B4591" w:rsidRPr="0025354B" w:rsidRDefault="005B4591" w:rsidP="00A10F5E">
      <w:pPr>
        <w:tabs>
          <w:tab w:val="left" w:pos="851"/>
        </w:tabs>
        <w:spacing w:after="0" w:line="240" w:lineRule="auto"/>
        <w:ind w:firstLine="567"/>
        <w:jc w:val="both"/>
        <w:rPr>
          <w:rFonts w:ascii="Times New Roman" w:eastAsia="Calibri" w:hAnsi="Times New Roman" w:cs="Times New Roman"/>
        </w:rPr>
      </w:pPr>
      <w:r w:rsidRPr="0025354B">
        <w:rPr>
          <w:rFonts w:ascii="Times New Roman" w:eastAsia="Calibri" w:hAnsi="Times New Roman" w:cs="Times New Roman"/>
        </w:rPr>
        <w:t>Желаният резултат ще се постигне чрез интегрирани действия в различни области на развитие, насочени в един фокус – сближаване.</w:t>
      </w:r>
    </w:p>
    <w:p w:rsidR="005B4591" w:rsidRPr="0025354B" w:rsidRDefault="005B4591" w:rsidP="00A10F5E">
      <w:pPr>
        <w:tabs>
          <w:tab w:val="left" w:pos="851"/>
        </w:tabs>
        <w:spacing w:after="0" w:line="240" w:lineRule="auto"/>
        <w:ind w:firstLine="567"/>
        <w:jc w:val="both"/>
        <w:rPr>
          <w:rFonts w:ascii="Times New Roman" w:eastAsia="Calibri" w:hAnsi="Times New Roman" w:cs="Times New Roman"/>
        </w:rPr>
      </w:pPr>
      <w:r w:rsidRPr="0025354B">
        <w:rPr>
          <w:rFonts w:ascii="Times New Roman" w:eastAsia="Calibri" w:hAnsi="Times New Roman" w:cs="Times New Roman"/>
        </w:rPr>
        <w:t>Сближаването има три аспекта – икономическо, социално и териториално сближаване, както и три нива – европейско – с регионите на ЕС, национално – между българските райони и вътрешно регионално – между общините в отделните райони.</w:t>
      </w:r>
    </w:p>
    <w:p w:rsidR="008C4D1B" w:rsidRPr="0025354B" w:rsidRDefault="005B4591" w:rsidP="00A10F5E">
      <w:pPr>
        <w:tabs>
          <w:tab w:val="left" w:pos="851"/>
        </w:tabs>
        <w:spacing w:after="0" w:line="240" w:lineRule="auto"/>
        <w:ind w:firstLine="567"/>
        <w:jc w:val="both"/>
        <w:rPr>
          <w:rFonts w:ascii="Times New Roman" w:eastAsia="Calibri" w:hAnsi="Times New Roman" w:cs="Times New Roman"/>
        </w:rPr>
      </w:pPr>
      <w:r w:rsidRPr="0025354B">
        <w:rPr>
          <w:rFonts w:ascii="Times New Roman" w:eastAsia="Times New Roman" w:hAnsi="Times New Roman" w:cs="Times New Roman"/>
          <w:lang w:eastAsia="bg-BG"/>
        </w:rPr>
        <w:t>Визията за развитието на политиката е тясно обвързана с мерките, определени в Приоритет 5 „Балансирано регионално развитие“ от програмата за управление на Правителството на Република България за периода 2017-2021, както и с приоритетите на министерството, съгласно стратегическите документи в областта на регионалното развитие и ефективното усвояване на ресурсите на оперативните програми.</w:t>
      </w:r>
      <w:r w:rsidRPr="0025354B">
        <w:rPr>
          <w:rFonts w:ascii="Times New Roman" w:eastAsia="Calibri" w:hAnsi="Times New Roman" w:cs="Times New Roman"/>
        </w:rPr>
        <w:t xml:space="preserve"> </w:t>
      </w:r>
    </w:p>
    <w:p w:rsidR="00A5027A" w:rsidRDefault="005B4591" w:rsidP="00A10F5E">
      <w:pPr>
        <w:tabs>
          <w:tab w:val="left" w:pos="851"/>
        </w:tabs>
        <w:spacing w:after="0" w:line="240" w:lineRule="auto"/>
        <w:ind w:firstLine="567"/>
        <w:jc w:val="both"/>
        <w:rPr>
          <w:rFonts w:ascii="Times New Roman" w:eastAsia="Calibri" w:hAnsi="Times New Roman" w:cs="Times New Roman"/>
        </w:rPr>
      </w:pPr>
      <w:r w:rsidRPr="0025354B">
        <w:rPr>
          <w:rFonts w:ascii="Times New Roman" w:eastAsia="Times New Roman" w:hAnsi="Times New Roman" w:cs="Times New Roman"/>
          <w:i/>
          <w:lang w:eastAsia="bg-BG"/>
        </w:rPr>
        <w:t>Главна дирекция „Стратегическо планиране и програми за регионално развитие“</w:t>
      </w:r>
      <w:r w:rsidRPr="0025354B">
        <w:rPr>
          <w:rFonts w:ascii="Times New Roman" w:eastAsia="Times New Roman" w:hAnsi="Times New Roman" w:cs="Times New Roman"/>
          <w:lang w:eastAsia="bg-BG"/>
        </w:rPr>
        <w:t xml:space="preserve"> </w:t>
      </w:r>
    </w:p>
    <w:p w:rsidR="00F265BF" w:rsidRPr="00F265BF" w:rsidRDefault="00F265BF" w:rsidP="00A10F5E">
      <w:pPr>
        <w:tabs>
          <w:tab w:val="left" w:pos="851"/>
        </w:tabs>
        <w:spacing w:after="0" w:line="240" w:lineRule="auto"/>
        <w:ind w:firstLine="567"/>
        <w:jc w:val="both"/>
        <w:rPr>
          <w:rFonts w:ascii="Times New Roman" w:eastAsia="Calibri" w:hAnsi="Times New Roman" w:cs="Times New Roman"/>
        </w:rPr>
      </w:pPr>
      <w:r w:rsidRPr="00F265BF">
        <w:rPr>
          <w:rFonts w:ascii="Times New Roman" w:eastAsia="Calibri" w:hAnsi="Times New Roman" w:cs="Times New Roman"/>
        </w:rPr>
        <w:t>Главна дирекция „Стратегическо планиране и програми за регионално развитие“</w:t>
      </w:r>
      <w:r w:rsidR="00AC76A7">
        <w:rPr>
          <w:rFonts w:ascii="Times New Roman" w:eastAsia="Calibri" w:hAnsi="Times New Roman" w:cs="Times New Roman"/>
        </w:rPr>
        <w:t xml:space="preserve"> </w:t>
      </w:r>
      <w:r w:rsidR="00AC76A7">
        <w:rPr>
          <w:rFonts w:ascii="Times New Roman" w:eastAsia="Calibri" w:hAnsi="Times New Roman" w:cs="Times New Roman"/>
          <w:lang w:val="en-US"/>
        </w:rPr>
        <w:t>(</w:t>
      </w:r>
      <w:r w:rsidR="00AC76A7">
        <w:rPr>
          <w:rFonts w:ascii="Times New Roman" w:eastAsia="Calibri" w:hAnsi="Times New Roman" w:cs="Times New Roman"/>
        </w:rPr>
        <w:t>ГД СППРР</w:t>
      </w:r>
      <w:r w:rsidR="00AC76A7">
        <w:rPr>
          <w:rFonts w:ascii="Times New Roman" w:eastAsia="Calibri" w:hAnsi="Times New Roman" w:cs="Times New Roman"/>
          <w:lang w:val="en-US"/>
        </w:rPr>
        <w:t>)</w:t>
      </w:r>
      <w:r w:rsidRPr="00F265BF">
        <w:rPr>
          <w:rFonts w:ascii="Times New Roman" w:eastAsia="Calibri" w:hAnsi="Times New Roman" w:cs="Times New Roman"/>
        </w:rPr>
        <w:t xml:space="preserve"> провежда политика за регионално развитие, която да създава условия за балансирано и устойчиво интегрирано развитие на регионите в България, както и превръщането им в по-привлекателни места за живеене и работа</w:t>
      </w:r>
      <w:r w:rsidRPr="00F265BF">
        <w:rPr>
          <w:rFonts w:ascii="Times New Roman" w:eastAsia="Calibri" w:hAnsi="Times New Roman" w:cs="Times New Roman"/>
          <w:lang w:val="en-US"/>
        </w:rPr>
        <w:t>,</w:t>
      </w:r>
      <w:r w:rsidRPr="00F265BF">
        <w:rPr>
          <w:rFonts w:ascii="Times New Roman" w:eastAsia="Calibri" w:hAnsi="Times New Roman" w:cs="Times New Roman"/>
        </w:rPr>
        <w:t xml:space="preserve">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r w:rsidRPr="00F265BF">
        <w:rPr>
          <w:rFonts w:ascii="Times New Roman" w:eastAsia="Calibri" w:hAnsi="Times New Roman" w:cs="Times New Roman"/>
          <w:lang w:val="en-US"/>
        </w:rPr>
        <w:t xml:space="preserve"> </w:t>
      </w:r>
      <w:r w:rsidRPr="00F265BF">
        <w:rPr>
          <w:rFonts w:ascii="Times New Roman" w:eastAsia="Calibri" w:hAnsi="Times New Roman" w:cs="Times New Roman"/>
        </w:rPr>
        <w:t xml:space="preserve">Развитието на политиката обхваща и: </w:t>
      </w:r>
    </w:p>
    <w:p w:rsidR="00F265BF" w:rsidRPr="00F265BF" w:rsidRDefault="00F265BF" w:rsidP="00A10F5E">
      <w:pPr>
        <w:numPr>
          <w:ilvl w:val="0"/>
          <w:numId w:val="13"/>
        </w:numPr>
        <w:tabs>
          <w:tab w:val="left" w:pos="851"/>
        </w:tabs>
        <w:spacing w:after="0" w:line="240" w:lineRule="auto"/>
        <w:ind w:left="0" w:firstLine="567"/>
        <w:jc w:val="both"/>
        <w:rPr>
          <w:rFonts w:ascii="Times New Roman" w:eastAsia="Calibri" w:hAnsi="Times New Roman" w:cs="Times New Roman"/>
          <w:lang w:val="en-US"/>
        </w:rPr>
      </w:pPr>
      <w:r w:rsidRPr="00F265BF">
        <w:rPr>
          <w:rFonts w:ascii="Times New Roman" w:eastAsia="Calibri" w:hAnsi="Times New Roman" w:cs="Times New Roman"/>
        </w:rPr>
        <w:t>разработване и изпълнение на система от нормативно регламентирани стратегически документи, в които са формулирани цели и приоритети за устойчиво регионално развитие, с цел постигане на интелигентен, устойчив и приобщаващ растеж и висока заетост в районите, в административно – териториалните и в териториалните единици;</w:t>
      </w:r>
    </w:p>
    <w:p w:rsidR="00F265BF" w:rsidRPr="00F265BF" w:rsidRDefault="00F265BF" w:rsidP="00A10F5E">
      <w:pPr>
        <w:numPr>
          <w:ilvl w:val="0"/>
          <w:numId w:val="13"/>
        </w:numPr>
        <w:tabs>
          <w:tab w:val="left" w:pos="851"/>
        </w:tabs>
        <w:spacing w:after="0" w:line="240" w:lineRule="auto"/>
        <w:ind w:left="0" w:firstLine="567"/>
        <w:jc w:val="both"/>
        <w:rPr>
          <w:rFonts w:ascii="Times New Roman" w:eastAsia="Calibri" w:hAnsi="Times New Roman" w:cs="Times New Roman"/>
        </w:rPr>
      </w:pPr>
      <w:r w:rsidRPr="00F265BF">
        <w:rPr>
          <w:rFonts w:ascii="Times New Roman" w:eastAsia="Calibri" w:hAnsi="Times New Roman" w:cs="Times New Roman"/>
        </w:rPr>
        <w:t>разработване и прилагане на целенасочени мерки за подпомагане развитието на регионите, изоставащи развитието си, като се отчитат специфичните им нужди и местния потенциал за развитие;</w:t>
      </w:r>
    </w:p>
    <w:p w:rsidR="00F265BF" w:rsidRPr="00F265BF" w:rsidRDefault="00F265BF" w:rsidP="00A10F5E">
      <w:pPr>
        <w:numPr>
          <w:ilvl w:val="0"/>
          <w:numId w:val="13"/>
        </w:numPr>
        <w:tabs>
          <w:tab w:val="left" w:pos="851"/>
        </w:tabs>
        <w:spacing w:after="0" w:line="240" w:lineRule="auto"/>
        <w:ind w:left="0" w:firstLine="567"/>
        <w:jc w:val="both"/>
        <w:rPr>
          <w:rFonts w:ascii="Times New Roman" w:eastAsia="Calibri" w:hAnsi="Times New Roman" w:cs="Times New Roman"/>
        </w:rPr>
      </w:pPr>
      <w:r w:rsidRPr="00F265BF">
        <w:rPr>
          <w:rFonts w:ascii="Times New Roman" w:eastAsia="Calibri" w:hAnsi="Times New Roman" w:cs="Times New Roman"/>
        </w:rPr>
        <w:t>насърчаване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w:t>
      </w:r>
    </w:p>
    <w:p w:rsidR="00AD3BB2" w:rsidRPr="00A5027A" w:rsidRDefault="00AD3BB2" w:rsidP="00A10F5E">
      <w:pPr>
        <w:pStyle w:val="ListParagraph"/>
        <w:tabs>
          <w:tab w:val="left" w:pos="851"/>
        </w:tabs>
        <w:spacing w:after="0" w:line="240" w:lineRule="auto"/>
        <w:ind w:left="0" w:firstLine="567"/>
        <w:jc w:val="both"/>
        <w:rPr>
          <w:rFonts w:ascii="Times New Roman" w:eastAsia="Times New Roman" w:hAnsi="Times New Roman" w:cs="Times New Roman"/>
          <w:lang w:eastAsia="bg-BG"/>
        </w:rPr>
      </w:pPr>
      <w:r w:rsidRPr="00A5027A">
        <w:rPr>
          <w:rFonts w:ascii="Times New Roman" w:eastAsia="Times New Roman" w:hAnsi="Times New Roman" w:cs="Times New Roman"/>
          <w:i/>
          <w:lang w:eastAsia="bg-BG"/>
        </w:rPr>
        <w:t>Дирекция „У</w:t>
      </w:r>
      <w:r w:rsidR="008C4D1B" w:rsidRPr="00A5027A">
        <w:rPr>
          <w:rFonts w:ascii="Times New Roman" w:eastAsia="Times New Roman" w:hAnsi="Times New Roman" w:cs="Times New Roman"/>
          <w:i/>
          <w:lang w:eastAsia="bg-BG"/>
        </w:rPr>
        <w:t>правление на териториалното сътрудничество</w:t>
      </w:r>
      <w:r w:rsidRPr="00A5027A">
        <w:rPr>
          <w:rFonts w:ascii="Times New Roman" w:eastAsia="Times New Roman" w:hAnsi="Times New Roman" w:cs="Times New Roman"/>
          <w:i/>
          <w:lang w:eastAsia="bg-BG"/>
        </w:rPr>
        <w:t>“</w:t>
      </w:r>
      <w:r w:rsidR="008C4D1B" w:rsidRPr="00A5027A">
        <w:rPr>
          <w:rFonts w:ascii="Times New Roman" w:eastAsia="Times New Roman" w:hAnsi="Times New Roman" w:cs="Times New Roman"/>
          <w:lang w:eastAsia="bg-BG"/>
        </w:rPr>
        <w:t xml:space="preserve"> участва в изпълнението на целите на политиката чрез гарантиране на:</w:t>
      </w:r>
    </w:p>
    <w:p w:rsidR="00AD3BB2" w:rsidRPr="0025354B" w:rsidRDefault="00AD3BB2" w:rsidP="00A10F5E">
      <w:pPr>
        <w:numPr>
          <w:ilvl w:val="0"/>
          <w:numId w:val="13"/>
        </w:numPr>
        <w:tabs>
          <w:tab w:val="left" w:pos="567"/>
        </w:tabs>
        <w:spacing w:after="0" w:line="240" w:lineRule="auto"/>
        <w:ind w:left="0" w:firstLine="567"/>
        <w:jc w:val="both"/>
        <w:rPr>
          <w:rFonts w:ascii="Times New Roman" w:hAnsi="Times New Roman" w:cs="Times New Roman"/>
        </w:rPr>
      </w:pPr>
      <w:r w:rsidRPr="0025354B">
        <w:rPr>
          <w:rFonts w:ascii="Times New Roman" w:hAnsi="Times New Roman" w:cs="Times New Roman"/>
        </w:rPr>
        <w:t>Устойчиво развитие на трансграничните региони в подкрепа на усилията за разширено европейско сътрудничество и интеграция;</w:t>
      </w:r>
    </w:p>
    <w:p w:rsidR="00AD3BB2" w:rsidRPr="0025354B" w:rsidRDefault="008C4D1B" w:rsidP="00A10F5E">
      <w:pPr>
        <w:numPr>
          <w:ilvl w:val="0"/>
          <w:numId w:val="13"/>
        </w:numPr>
        <w:tabs>
          <w:tab w:val="left" w:pos="426"/>
          <w:tab w:val="left" w:pos="567"/>
        </w:tabs>
        <w:spacing w:after="0" w:line="240" w:lineRule="auto"/>
        <w:ind w:left="0" w:firstLine="567"/>
        <w:jc w:val="both"/>
        <w:rPr>
          <w:rFonts w:ascii="Times New Roman" w:hAnsi="Times New Roman" w:cs="Times New Roman"/>
        </w:rPr>
      </w:pPr>
      <w:r w:rsidRPr="0025354B">
        <w:rPr>
          <w:rFonts w:ascii="Times New Roman" w:hAnsi="Times New Roman" w:cs="Times New Roman"/>
          <w:lang w:val="en-US"/>
        </w:rPr>
        <w:t xml:space="preserve"> </w:t>
      </w:r>
      <w:r w:rsidR="00AD3BB2" w:rsidRPr="0025354B">
        <w:rPr>
          <w:rFonts w:ascii="Times New Roman" w:hAnsi="Times New Roman" w:cs="Times New Roman"/>
        </w:rPr>
        <w:t>Организиране и координация на цялостния процес при изпълнението на проектите и програмите по европейско териториално сътрудничество (вкл. програмиране, наблюдение, контрол, оценка на риска, оценка на програмите, финансово управление и др.);</w:t>
      </w:r>
    </w:p>
    <w:p w:rsidR="00AD3BB2" w:rsidRPr="0025354B" w:rsidRDefault="008C4D1B" w:rsidP="00A10F5E">
      <w:pPr>
        <w:numPr>
          <w:ilvl w:val="0"/>
          <w:numId w:val="13"/>
        </w:numPr>
        <w:tabs>
          <w:tab w:val="left" w:pos="567"/>
        </w:tabs>
        <w:spacing w:after="0" w:line="240" w:lineRule="auto"/>
        <w:ind w:left="0" w:firstLine="567"/>
        <w:jc w:val="both"/>
        <w:rPr>
          <w:rFonts w:ascii="Times New Roman" w:hAnsi="Times New Roman" w:cs="Times New Roman"/>
        </w:rPr>
      </w:pPr>
      <w:r w:rsidRPr="0025354B">
        <w:rPr>
          <w:rFonts w:ascii="Times New Roman" w:hAnsi="Times New Roman" w:cs="Times New Roman"/>
          <w:lang w:val="en-US"/>
        </w:rPr>
        <w:t xml:space="preserve"> </w:t>
      </w:r>
      <w:r w:rsidR="00AD3BB2" w:rsidRPr="0025354B">
        <w:rPr>
          <w:rFonts w:ascii="Times New Roman" w:hAnsi="Times New Roman" w:cs="Times New Roman"/>
        </w:rPr>
        <w:t>Укрепване на капацитета на структурите по програмите за европейско териториално сътрудничество, в които Република България участва.</w:t>
      </w:r>
    </w:p>
    <w:p w:rsidR="00085F97" w:rsidRDefault="00912442" w:rsidP="00A10F5E">
      <w:pPr>
        <w:tabs>
          <w:tab w:val="left" w:pos="851"/>
        </w:tabs>
        <w:spacing w:after="0" w:line="240" w:lineRule="auto"/>
        <w:ind w:firstLine="567"/>
        <w:jc w:val="both"/>
        <w:rPr>
          <w:rFonts w:ascii="Times New Roman" w:hAnsi="Times New Roman" w:cs="Times New Roman"/>
        </w:rPr>
      </w:pPr>
      <w:r w:rsidRPr="0025354B">
        <w:rPr>
          <w:rFonts w:ascii="Times New Roman" w:hAnsi="Times New Roman" w:cs="Times New Roman"/>
          <w:i/>
        </w:rPr>
        <w:t>Дирекция „Жилищна политика“</w:t>
      </w:r>
      <w:r w:rsidRPr="0025354B">
        <w:rPr>
          <w:rFonts w:ascii="Times New Roman" w:hAnsi="Times New Roman" w:cs="Times New Roman"/>
        </w:rPr>
        <w:t xml:space="preserve"> има отговорност при изпълнението на Плана за действие за изпълнение на Националната стратегия на Република България за интегриране на ромите 2012 – 2020 г. и допринася за постигане целите на политиката чрез с</w:t>
      </w:r>
      <w:r w:rsidR="00085F97" w:rsidRPr="0025354B">
        <w:rPr>
          <w:rFonts w:ascii="Times New Roman" w:hAnsi="Times New Roman" w:cs="Times New Roman"/>
        </w:rPr>
        <w:t xml:space="preserve">ъздаване на балансирана, съразмерно развиваща се и устойчива жилищна система чрез осигуряване на условия за достъп до качествени </w:t>
      </w:r>
      <w:r w:rsidR="00085F97" w:rsidRPr="0025354B">
        <w:rPr>
          <w:rFonts w:ascii="Times New Roman" w:hAnsi="Times New Roman" w:cs="Times New Roman"/>
        </w:rPr>
        <w:lastRenderedPageBreak/>
        <w:t xml:space="preserve">жилища </w:t>
      </w:r>
      <w:r w:rsidR="00085F97" w:rsidRPr="0025354B">
        <w:rPr>
          <w:rFonts w:ascii="Times New Roman" w:hAnsi="Times New Roman" w:cs="Times New Roman"/>
          <w:lang w:val="en-US"/>
        </w:rPr>
        <w:t>(</w:t>
      </w:r>
      <w:r w:rsidR="00085F97" w:rsidRPr="0025354B">
        <w:rPr>
          <w:rFonts w:ascii="Times New Roman" w:hAnsi="Times New Roman" w:cs="Times New Roman"/>
        </w:rPr>
        <w:t>собствени или наемни</w:t>
      </w:r>
      <w:r w:rsidR="00085F97" w:rsidRPr="0025354B">
        <w:rPr>
          <w:rFonts w:ascii="Times New Roman" w:hAnsi="Times New Roman" w:cs="Times New Roman"/>
          <w:lang w:val="en-US"/>
        </w:rPr>
        <w:t>)</w:t>
      </w:r>
      <w:r w:rsidR="00085F97" w:rsidRPr="0025354B">
        <w:rPr>
          <w:rFonts w:ascii="Times New Roman" w:hAnsi="Times New Roman" w:cs="Times New Roman"/>
        </w:rPr>
        <w:t>, които да задоволяват нуждите на българските граждани. Визията за обновяване на жилищния сграден фонд е сред основните приоритети, като има пряко отношение към аспектите и изискванията на устойчивото развитие.</w:t>
      </w:r>
      <w:r w:rsidRPr="0025354B">
        <w:rPr>
          <w:rFonts w:ascii="Times New Roman" w:hAnsi="Times New Roman" w:cs="Times New Roman"/>
        </w:rPr>
        <w:t xml:space="preserve"> </w:t>
      </w:r>
      <w:r w:rsidR="00085F97" w:rsidRPr="0025354B">
        <w:rPr>
          <w:rFonts w:ascii="Times New Roman" w:hAnsi="Times New Roman" w:cs="Times New Roman"/>
        </w:rPr>
        <w:t>Дирекция</w:t>
      </w:r>
      <w:r w:rsidRPr="0025354B">
        <w:rPr>
          <w:rFonts w:ascii="Times New Roman" w:hAnsi="Times New Roman" w:cs="Times New Roman"/>
        </w:rPr>
        <w:t xml:space="preserve">та </w:t>
      </w:r>
      <w:r w:rsidR="00085F97" w:rsidRPr="0025354B">
        <w:rPr>
          <w:rFonts w:ascii="Times New Roman" w:hAnsi="Times New Roman" w:cs="Times New Roman"/>
        </w:rPr>
        <w:t xml:space="preserve">координира изпълнението на Националната програма за енергийна ефективност на многофамилни жилищни сгради </w:t>
      </w:r>
      <w:r w:rsidR="00085F97" w:rsidRPr="0025354B">
        <w:rPr>
          <w:rFonts w:ascii="Times New Roman" w:hAnsi="Times New Roman" w:cs="Times New Roman"/>
          <w:lang w:val="en-US"/>
        </w:rPr>
        <w:t>(</w:t>
      </w:r>
      <w:r w:rsidR="00085F97" w:rsidRPr="0025354B">
        <w:rPr>
          <w:rFonts w:ascii="Times New Roman" w:hAnsi="Times New Roman" w:cs="Times New Roman"/>
        </w:rPr>
        <w:t>НПЕЕМЖС</w:t>
      </w:r>
      <w:r w:rsidR="00085F97" w:rsidRPr="0025354B">
        <w:rPr>
          <w:rFonts w:ascii="Times New Roman" w:hAnsi="Times New Roman" w:cs="Times New Roman"/>
          <w:lang w:val="en-US"/>
        </w:rPr>
        <w:t>)</w:t>
      </w:r>
      <w:r w:rsidR="00085F97" w:rsidRPr="0025354B">
        <w:rPr>
          <w:rFonts w:ascii="Times New Roman" w:hAnsi="Times New Roman" w:cs="Times New Roman"/>
        </w:rPr>
        <w:t>, която е насочена към обновяване на многофамилни жилищни сгради, като с нея се цели изпълнение на мерки за енергийна ефективност в същите.</w:t>
      </w:r>
    </w:p>
    <w:p w:rsidR="00211B4A" w:rsidRPr="00211B4A" w:rsidRDefault="00211B4A" w:rsidP="00A10F5E">
      <w:pPr>
        <w:tabs>
          <w:tab w:val="left" w:pos="851"/>
        </w:tabs>
        <w:spacing w:after="0" w:line="240" w:lineRule="auto"/>
        <w:ind w:firstLine="567"/>
        <w:jc w:val="both"/>
        <w:rPr>
          <w:rFonts w:ascii="Times New Roman" w:hAnsi="Times New Roman" w:cs="Times New Roman"/>
          <w:b/>
          <w:i/>
        </w:rPr>
      </w:pPr>
      <w:r w:rsidRPr="00211B4A">
        <w:rPr>
          <w:rFonts w:ascii="Times New Roman" w:hAnsi="Times New Roman" w:cs="Times New Roman"/>
          <w:b/>
          <w:i/>
        </w:rPr>
        <w:t>Стратегически цели</w:t>
      </w:r>
    </w:p>
    <w:p w:rsidR="00211B4A" w:rsidRPr="00211B4A" w:rsidRDefault="00211B4A" w:rsidP="00A10F5E">
      <w:pPr>
        <w:numPr>
          <w:ilvl w:val="0"/>
          <w:numId w:val="33"/>
        </w:numPr>
        <w:spacing w:after="0" w:line="240" w:lineRule="auto"/>
        <w:ind w:left="0" w:firstLine="567"/>
        <w:jc w:val="both"/>
        <w:rPr>
          <w:rFonts w:ascii="Times New Roman" w:hAnsi="Times New Roman" w:cs="Times New Roman"/>
        </w:rPr>
      </w:pPr>
      <w:r w:rsidRPr="00211B4A">
        <w:rPr>
          <w:rFonts w:ascii="Times New Roman" w:hAnsi="Times New Roman" w:cs="Times New Roman"/>
        </w:rPr>
        <w:t>Подпомагане на икономическото и социално развитие на трансграничните региони и намаляване на регионалните различия‚ посредством подобряване на инфраструктурата в граничните райони, опазване на околната среда, насърчаване на сътрудничество между регионите, устойчиво използване на природните и културните ресурси, насърчаване на съвместното трансгранично сътрудничество, разширяване на трансгранични икономически дейности, социалното предприемачество и здравна помощ;</w:t>
      </w:r>
    </w:p>
    <w:p w:rsidR="00211B4A" w:rsidRDefault="00211B4A" w:rsidP="00A10F5E">
      <w:pPr>
        <w:numPr>
          <w:ilvl w:val="0"/>
          <w:numId w:val="33"/>
        </w:numPr>
        <w:spacing w:after="0" w:line="240" w:lineRule="auto"/>
        <w:ind w:left="0" w:firstLine="567"/>
        <w:jc w:val="both"/>
        <w:rPr>
          <w:rFonts w:ascii="Times New Roman" w:hAnsi="Times New Roman" w:cs="Times New Roman"/>
        </w:rPr>
      </w:pPr>
      <w:r w:rsidRPr="00211B4A">
        <w:rPr>
          <w:rFonts w:ascii="Times New Roman" w:hAnsi="Times New Roman" w:cs="Times New Roman"/>
        </w:rPr>
        <w:t>Развитие на транснационално и междурегионално сътрудничество в следните приоритети: иновации, околна среда, туризъм, достъпно</w:t>
      </w:r>
      <w:r>
        <w:rPr>
          <w:rFonts w:ascii="Times New Roman" w:hAnsi="Times New Roman" w:cs="Times New Roman"/>
        </w:rPr>
        <w:t>ст и устойчиво градско развитие;</w:t>
      </w:r>
    </w:p>
    <w:p w:rsidR="00211B4A" w:rsidRDefault="00211B4A" w:rsidP="00A10F5E">
      <w:pPr>
        <w:numPr>
          <w:ilvl w:val="0"/>
          <w:numId w:val="33"/>
        </w:numPr>
        <w:spacing w:after="0" w:line="240" w:lineRule="auto"/>
        <w:ind w:left="0" w:firstLine="567"/>
        <w:jc w:val="both"/>
        <w:rPr>
          <w:rFonts w:ascii="Times New Roman" w:hAnsi="Times New Roman" w:cs="Times New Roman"/>
        </w:rPr>
      </w:pPr>
      <w:r w:rsidRPr="00211B4A">
        <w:rPr>
          <w:rFonts w:ascii="Times New Roman" w:hAnsi="Times New Roman" w:cs="Times New Roman"/>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211B4A" w:rsidRDefault="00211B4A" w:rsidP="00A10F5E">
      <w:pPr>
        <w:numPr>
          <w:ilvl w:val="0"/>
          <w:numId w:val="33"/>
        </w:numPr>
        <w:spacing w:after="0" w:line="240" w:lineRule="auto"/>
        <w:ind w:left="0" w:firstLine="567"/>
        <w:jc w:val="both"/>
        <w:rPr>
          <w:rFonts w:ascii="Times New Roman" w:hAnsi="Times New Roman" w:cs="Times New Roman"/>
        </w:rPr>
      </w:pPr>
      <w:r w:rsidRPr="00211B4A">
        <w:rPr>
          <w:rFonts w:ascii="Times New Roman" w:hAnsi="Times New Roman" w:cs="Times New Roman"/>
        </w:rPr>
        <w:t>Ефективно управление и изпълнение на Оперативна програма „Региони в растеж“ 2014-2020 г., укрепване на сътрудничеството и комуникацията с партньорите от ЕС и с другите заинтересовани страни, гарантиране на прозрачност в работата и преодоляване на корупционните практики;</w:t>
      </w:r>
    </w:p>
    <w:p w:rsidR="00211B4A" w:rsidRDefault="00211B4A" w:rsidP="00A10F5E">
      <w:pPr>
        <w:numPr>
          <w:ilvl w:val="0"/>
          <w:numId w:val="33"/>
        </w:numPr>
        <w:spacing w:after="0" w:line="240" w:lineRule="auto"/>
        <w:ind w:left="0" w:firstLine="567"/>
        <w:jc w:val="both"/>
        <w:rPr>
          <w:rFonts w:ascii="Times New Roman" w:hAnsi="Times New Roman" w:cs="Times New Roman"/>
        </w:rPr>
      </w:pPr>
      <w:r w:rsidRPr="00211B4A">
        <w:rPr>
          <w:rFonts w:ascii="Times New Roman" w:hAnsi="Times New Roman" w:cs="Times New Roman"/>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211B4A" w:rsidRDefault="00211B4A" w:rsidP="00A10F5E">
      <w:pPr>
        <w:numPr>
          <w:ilvl w:val="0"/>
          <w:numId w:val="33"/>
        </w:numPr>
        <w:spacing w:after="0" w:line="240" w:lineRule="auto"/>
        <w:ind w:left="0" w:firstLine="567"/>
        <w:jc w:val="both"/>
        <w:rPr>
          <w:rFonts w:ascii="Times New Roman" w:hAnsi="Times New Roman" w:cs="Times New Roman"/>
        </w:rPr>
      </w:pPr>
      <w:r w:rsidRPr="00211B4A">
        <w:rPr>
          <w:rFonts w:ascii="Times New Roman" w:hAnsi="Times New Roman" w:cs="Times New Roman"/>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211B4A" w:rsidRDefault="00211B4A" w:rsidP="00A10F5E">
      <w:pPr>
        <w:numPr>
          <w:ilvl w:val="0"/>
          <w:numId w:val="33"/>
        </w:numPr>
        <w:spacing w:after="0" w:line="240" w:lineRule="auto"/>
        <w:ind w:left="0" w:firstLine="567"/>
        <w:jc w:val="both"/>
        <w:rPr>
          <w:rFonts w:ascii="Times New Roman" w:hAnsi="Times New Roman" w:cs="Times New Roman"/>
        </w:rPr>
      </w:pPr>
      <w:r w:rsidRPr="00211B4A">
        <w:rPr>
          <w:rFonts w:ascii="Times New Roman" w:hAnsi="Times New Roman" w:cs="Times New Roman"/>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A10F5E" w:rsidRPr="00211B4A" w:rsidRDefault="00A10F5E" w:rsidP="00A10F5E">
      <w:pPr>
        <w:spacing w:after="0" w:line="240" w:lineRule="auto"/>
        <w:ind w:left="567"/>
        <w:jc w:val="both"/>
        <w:rPr>
          <w:rFonts w:ascii="Times New Roman" w:hAnsi="Times New Roman" w:cs="Times New Roman"/>
        </w:rPr>
      </w:pPr>
    </w:p>
    <w:p w:rsidR="006A4CE0" w:rsidRPr="0025354B" w:rsidRDefault="00766A55" w:rsidP="00A10F5E">
      <w:pPr>
        <w:pStyle w:val="ListParagraph"/>
        <w:numPr>
          <w:ilvl w:val="0"/>
          <w:numId w:val="1"/>
        </w:numPr>
        <w:spacing w:after="0" w:line="240" w:lineRule="auto"/>
        <w:ind w:left="0" w:firstLine="567"/>
        <w:jc w:val="both"/>
        <w:rPr>
          <w:rFonts w:ascii="Times New Roman" w:hAnsi="Times New Roman" w:cs="Times New Roman"/>
          <w:b/>
          <w:i/>
          <w:color w:val="0000CC"/>
        </w:rPr>
      </w:pPr>
      <w:r w:rsidRPr="0025354B">
        <w:rPr>
          <w:rFonts w:ascii="Times New Roman" w:hAnsi="Times New Roman" w:cs="Times New Roman"/>
          <w:b/>
          <w:i/>
          <w:color w:val="0000CC"/>
        </w:rPr>
        <w:t>Отговорност</w:t>
      </w:r>
      <w:r w:rsidR="00D545AA" w:rsidRPr="0025354B">
        <w:rPr>
          <w:rFonts w:ascii="Times New Roman" w:hAnsi="Times New Roman" w:cs="Times New Roman"/>
          <w:b/>
          <w:i/>
          <w:color w:val="0000CC"/>
        </w:rPr>
        <w:t xml:space="preserve"> </w:t>
      </w:r>
      <w:r w:rsidR="00AE0B4B" w:rsidRPr="0025354B">
        <w:rPr>
          <w:rFonts w:ascii="Times New Roman" w:hAnsi="Times New Roman" w:cs="Times New Roman"/>
          <w:b/>
          <w:i/>
          <w:color w:val="0000CC"/>
        </w:rPr>
        <w:t>за</w:t>
      </w:r>
      <w:r w:rsidR="00091C5B" w:rsidRPr="0025354B">
        <w:rPr>
          <w:rFonts w:ascii="Times New Roman" w:hAnsi="Times New Roman" w:cs="Times New Roman"/>
          <w:b/>
          <w:i/>
          <w:color w:val="0000CC"/>
        </w:rPr>
        <w:t xml:space="preserve"> разпределението на публичните разходи</w:t>
      </w:r>
      <w:r w:rsidR="00AE0B4B" w:rsidRPr="0025354B">
        <w:rPr>
          <w:rFonts w:ascii="Times New Roman" w:hAnsi="Times New Roman" w:cs="Times New Roman"/>
          <w:b/>
          <w:i/>
          <w:color w:val="0000CC"/>
        </w:rPr>
        <w:t xml:space="preserve"> за политиката</w:t>
      </w:r>
    </w:p>
    <w:p w:rsidR="006A4CE0" w:rsidRDefault="006A4CE0" w:rsidP="00A10F5E">
      <w:pPr>
        <w:pStyle w:val="ListParagraph"/>
        <w:numPr>
          <w:ilvl w:val="0"/>
          <w:numId w:val="4"/>
        </w:numPr>
        <w:spacing w:after="0" w:line="240" w:lineRule="auto"/>
        <w:ind w:left="1134" w:firstLine="0"/>
        <w:jc w:val="both"/>
        <w:rPr>
          <w:rFonts w:ascii="Times New Roman" w:hAnsi="Times New Roman" w:cs="Times New Roman"/>
          <w:b/>
          <w:i/>
          <w:color w:val="0000CC"/>
        </w:rPr>
      </w:pPr>
      <w:r w:rsidRPr="0025354B">
        <w:rPr>
          <w:rFonts w:ascii="Times New Roman" w:hAnsi="Times New Roman" w:cs="Times New Roman"/>
          <w:b/>
          <w:i/>
          <w:color w:val="0000CC"/>
        </w:rPr>
        <w:t xml:space="preserve"> Консолидирани разходи по политиката, които ПРБ разходва пряко чрез бюджета и отговаря за разпределението/разчитането на</w:t>
      </w:r>
      <w:r w:rsidR="00574848" w:rsidRPr="0025354B">
        <w:rPr>
          <w:rFonts w:ascii="Times New Roman" w:hAnsi="Times New Roman" w:cs="Times New Roman"/>
          <w:b/>
          <w:i/>
          <w:color w:val="0000CC"/>
        </w:rPr>
        <w:t xml:space="preserve"> разходи по други бюджети и ССЕС</w:t>
      </w:r>
    </w:p>
    <w:p w:rsidR="007F7E3B" w:rsidRDefault="007F7E3B" w:rsidP="007F7E3B">
      <w:pPr>
        <w:pStyle w:val="ListParagraph"/>
        <w:spacing w:after="0" w:line="240" w:lineRule="auto"/>
        <w:ind w:left="1134"/>
        <w:jc w:val="both"/>
        <w:rPr>
          <w:rFonts w:ascii="Times New Roman" w:hAnsi="Times New Roman" w:cs="Times New Roman"/>
          <w:b/>
          <w:i/>
          <w:color w:val="0000CC"/>
        </w:rPr>
      </w:pPr>
    </w:p>
    <w:tbl>
      <w:tblPr>
        <w:tblW w:w="9677" w:type="dxa"/>
        <w:tblInd w:w="75" w:type="dxa"/>
        <w:tblCellMar>
          <w:left w:w="70" w:type="dxa"/>
          <w:right w:w="70" w:type="dxa"/>
        </w:tblCellMar>
        <w:tblLook w:val="04A0" w:firstRow="1" w:lastRow="0" w:firstColumn="1" w:lastColumn="0" w:noHBand="0" w:noVBand="1"/>
      </w:tblPr>
      <w:tblGrid>
        <w:gridCol w:w="3397"/>
        <w:gridCol w:w="1580"/>
        <w:gridCol w:w="1420"/>
        <w:gridCol w:w="1600"/>
        <w:gridCol w:w="1680"/>
      </w:tblGrid>
      <w:tr w:rsidR="002F5A10" w:rsidRPr="002F5A10" w:rsidTr="002F5A10">
        <w:trPr>
          <w:trHeight w:val="480"/>
        </w:trPr>
        <w:tc>
          <w:tcPr>
            <w:tcW w:w="3397"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2F5A10" w:rsidRPr="002F5A10" w:rsidRDefault="002F5A10" w:rsidP="002F5A10">
            <w:pPr>
              <w:spacing w:after="0" w:line="240" w:lineRule="auto"/>
              <w:jc w:val="center"/>
              <w:rPr>
                <w:rFonts w:ascii="Times New Roman" w:eastAsia="Times New Roman" w:hAnsi="Times New Roman" w:cs="Times New Roman"/>
                <w:b/>
                <w:bCs/>
                <w:i/>
                <w:iCs/>
                <w:color w:val="000000"/>
                <w:sz w:val="18"/>
                <w:szCs w:val="18"/>
                <w:lang w:eastAsia="bg-BG"/>
              </w:rPr>
            </w:pPr>
            <w:r w:rsidRPr="002F5A10">
              <w:rPr>
                <w:rFonts w:ascii="Times New Roman" w:eastAsia="Times New Roman" w:hAnsi="Times New Roman" w:cs="Times New Roman"/>
                <w:b/>
                <w:bCs/>
                <w:i/>
                <w:iCs/>
                <w:color w:val="000000"/>
                <w:sz w:val="18"/>
                <w:szCs w:val="18"/>
                <w:lang w:eastAsia="bg-BG"/>
              </w:rPr>
              <w:t>Област на политика (в хил. лв.)</w:t>
            </w:r>
          </w:p>
        </w:tc>
        <w:tc>
          <w:tcPr>
            <w:tcW w:w="1580" w:type="dxa"/>
            <w:tcBorders>
              <w:top w:val="single" w:sz="4" w:space="0" w:color="auto"/>
              <w:left w:val="nil"/>
              <w:bottom w:val="single" w:sz="4" w:space="0" w:color="auto"/>
              <w:right w:val="single" w:sz="4" w:space="0" w:color="auto"/>
            </w:tcBorders>
            <w:shd w:val="clear" w:color="000000" w:fill="FCD5B4"/>
            <w:vAlign w:val="center"/>
            <w:hideMark/>
          </w:tcPr>
          <w:p w:rsidR="002F5A10" w:rsidRPr="002F5A10" w:rsidRDefault="002F5A10" w:rsidP="002F5A10">
            <w:pPr>
              <w:spacing w:after="0" w:line="240" w:lineRule="auto"/>
              <w:jc w:val="center"/>
              <w:rPr>
                <w:rFonts w:ascii="Times New Roman" w:eastAsia="Times New Roman" w:hAnsi="Times New Roman" w:cs="Times New Roman"/>
                <w:b/>
                <w:bCs/>
                <w:i/>
                <w:iCs/>
                <w:color w:val="000000"/>
                <w:sz w:val="18"/>
                <w:szCs w:val="18"/>
                <w:lang w:eastAsia="bg-BG"/>
              </w:rPr>
            </w:pPr>
            <w:r w:rsidRPr="002F5A10">
              <w:rPr>
                <w:rFonts w:ascii="Times New Roman" w:eastAsia="Times New Roman" w:hAnsi="Times New Roman" w:cs="Times New Roman"/>
                <w:b/>
                <w:bCs/>
                <w:i/>
                <w:iCs/>
                <w:color w:val="000000"/>
                <w:sz w:val="18"/>
                <w:szCs w:val="18"/>
                <w:lang w:eastAsia="bg-BG"/>
              </w:rPr>
              <w:t> </w:t>
            </w:r>
          </w:p>
        </w:tc>
        <w:tc>
          <w:tcPr>
            <w:tcW w:w="1420" w:type="dxa"/>
            <w:tcBorders>
              <w:top w:val="single" w:sz="4" w:space="0" w:color="auto"/>
              <w:left w:val="nil"/>
              <w:bottom w:val="single" w:sz="4" w:space="0" w:color="auto"/>
              <w:right w:val="single" w:sz="4" w:space="0" w:color="auto"/>
            </w:tcBorders>
            <w:shd w:val="clear" w:color="000000" w:fill="FCD5B4"/>
            <w:vAlign w:val="center"/>
            <w:hideMark/>
          </w:tcPr>
          <w:p w:rsidR="002F5A10" w:rsidRPr="002F5A10" w:rsidRDefault="002F5A10" w:rsidP="002F5A10">
            <w:pPr>
              <w:spacing w:after="0" w:line="240" w:lineRule="auto"/>
              <w:jc w:val="center"/>
              <w:rPr>
                <w:rFonts w:ascii="Times New Roman" w:eastAsia="Times New Roman" w:hAnsi="Times New Roman" w:cs="Times New Roman"/>
                <w:b/>
                <w:bCs/>
                <w:i/>
                <w:iCs/>
                <w:color w:val="000000"/>
                <w:sz w:val="18"/>
                <w:szCs w:val="18"/>
                <w:lang w:eastAsia="bg-BG"/>
              </w:rPr>
            </w:pPr>
            <w:r w:rsidRPr="002F5A10">
              <w:rPr>
                <w:rFonts w:ascii="Times New Roman" w:eastAsia="Times New Roman" w:hAnsi="Times New Roman" w:cs="Times New Roman"/>
                <w:b/>
                <w:bCs/>
                <w:i/>
                <w:iCs/>
                <w:color w:val="000000"/>
                <w:sz w:val="18"/>
                <w:szCs w:val="18"/>
                <w:lang w:eastAsia="bg-BG"/>
              </w:rPr>
              <w:t>Общо разходи</w:t>
            </w:r>
          </w:p>
        </w:tc>
        <w:tc>
          <w:tcPr>
            <w:tcW w:w="1600" w:type="dxa"/>
            <w:tcBorders>
              <w:top w:val="single" w:sz="4" w:space="0" w:color="auto"/>
              <w:left w:val="nil"/>
              <w:bottom w:val="single" w:sz="4" w:space="0" w:color="auto"/>
              <w:right w:val="single" w:sz="4" w:space="0" w:color="auto"/>
            </w:tcBorders>
            <w:shd w:val="clear" w:color="000000" w:fill="FCD5B4"/>
            <w:vAlign w:val="center"/>
            <w:hideMark/>
          </w:tcPr>
          <w:p w:rsidR="002F5A10" w:rsidRPr="002F5A10" w:rsidRDefault="002F5A10" w:rsidP="002F5A10">
            <w:pPr>
              <w:spacing w:after="0" w:line="240" w:lineRule="auto"/>
              <w:jc w:val="center"/>
              <w:rPr>
                <w:rFonts w:ascii="Times New Roman" w:eastAsia="Times New Roman" w:hAnsi="Times New Roman" w:cs="Times New Roman"/>
                <w:b/>
                <w:bCs/>
                <w:i/>
                <w:iCs/>
                <w:color w:val="000000"/>
                <w:sz w:val="18"/>
                <w:szCs w:val="18"/>
                <w:lang w:eastAsia="bg-BG"/>
              </w:rPr>
            </w:pPr>
            <w:r w:rsidRPr="002F5A10">
              <w:rPr>
                <w:rFonts w:ascii="Times New Roman" w:eastAsia="Times New Roman" w:hAnsi="Times New Roman" w:cs="Times New Roman"/>
                <w:b/>
                <w:bCs/>
                <w:i/>
                <w:iCs/>
                <w:color w:val="000000"/>
                <w:sz w:val="18"/>
                <w:szCs w:val="18"/>
                <w:lang w:eastAsia="bg-BG"/>
              </w:rPr>
              <w:t>По бюджета на ПРБ</w:t>
            </w:r>
          </w:p>
        </w:tc>
        <w:tc>
          <w:tcPr>
            <w:tcW w:w="1680" w:type="dxa"/>
            <w:tcBorders>
              <w:top w:val="single" w:sz="4" w:space="0" w:color="auto"/>
              <w:left w:val="nil"/>
              <w:bottom w:val="single" w:sz="4" w:space="0" w:color="auto"/>
              <w:right w:val="single" w:sz="4" w:space="0" w:color="auto"/>
            </w:tcBorders>
            <w:shd w:val="clear" w:color="000000" w:fill="FCD5B4"/>
            <w:vAlign w:val="center"/>
            <w:hideMark/>
          </w:tcPr>
          <w:p w:rsidR="002F5A10" w:rsidRPr="002F5A10" w:rsidRDefault="002F5A10" w:rsidP="002F5A10">
            <w:pPr>
              <w:spacing w:after="0" w:line="240" w:lineRule="auto"/>
              <w:jc w:val="center"/>
              <w:rPr>
                <w:rFonts w:ascii="Times New Roman" w:eastAsia="Times New Roman" w:hAnsi="Times New Roman" w:cs="Times New Roman"/>
                <w:b/>
                <w:bCs/>
                <w:i/>
                <w:iCs/>
                <w:color w:val="000000"/>
                <w:sz w:val="18"/>
                <w:szCs w:val="18"/>
                <w:lang w:eastAsia="bg-BG"/>
              </w:rPr>
            </w:pPr>
            <w:r w:rsidRPr="002F5A10">
              <w:rPr>
                <w:rFonts w:ascii="Times New Roman" w:eastAsia="Times New Roman" w:hAnsi="Times New Roman" w:cs="Times New Roman"/>
                <w:b/>
                <w:bCs/>
                <w:i/>
                <w:iCs/>
                <w:color w:val="000000"/>
                <w:sz w:val="18"/>
                <w:szCs w:val="18"/>
                <w:lang w:eastAsia="bg-BG"/>
              </w:rPr>
              <w:t>По други бюджети и сметки за СЕС</w:t>
            </w:r>
          </w:p>
        </w:tc>
      </w:tr>
      <w:tr w:rsidR="002F5A10" w:rsidRPr="002F5A10" w:rsidTr="002F5A10">
        <w:trPr>
          <w:trHeight w:val="390"/>
        </w:trPr>
        <w:tc>
          <w:tcPr>
            <w:tcW w:w="3397" w:type="dxa"/>
            <w:vMerge w:val="restart"/>
            <w:tcBorders>
              <w:top w:val="nil"/>
              <w:left w:val="single" w:sz="4" w:space="0" w:color="auto"/>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rPr>
                <w:rFonts w:ascii="Times New Roman" w:eastAsia="Times New Roman" w:hAnsi="Times New Roman" w:cs="Times New Roman"/>
                <w:color w:val="000000"/>
                <w:sz w:val="18"/>
                <w:szCs w:val="18"/>
                <w:lang w:eastAsia="bg-BG"/>
              </w:rPr>
            </w:pPr>
            <w:r w:rsidRPr="002F5A10">
              <w:rPr>
                <w:rFonts w:ascii="Times New Roman" w:eastAsia="Times New Roman" w:hAnsi="Times New Roman" w:cs="Times New Roman"/>
                <w:color w:val="000000"/>
                <w:sz w:val="18"/>
                <w:szCs w:val="18"/>
                <w:lang w:eastAsia="bg-BG"/>
              </w:rPr>
              <w:t>Политика за интегрирано развитие на регионите за постигане на растеж и подобряване качеството на жизнената среда</w:t>
            </w:r>
          </w:p>
        </w:tc>
        <w:tc>
          <w:tcPr>
            <w:tcW w:w="1580" w:type="dxa"/>
            <w:tcBorders>
              <w:top w:val="nil"/>
              <w:left w:val="nil"/>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jc w:val="center"/>
              <w:rPr>
                <w:rFonts w:ascii="Times New Roman" w:eastAsia="Times New Roman" w:hAnsi="Times New Roman" w:cs="Times New Roman"/>
                <w:i/>
                <w:iCs/>
                <w:color w:val="000000"/>
                <w:sz w:val="18"/>
                <w:szCs w:val="18"/>
                <w:lang w:eastAsia="bg-BG"/>
              </w:rPr>
            </w:pPr>
            <w:r w:rsidRPr="002F5A10">
              <w:rPr>
                <w:rFonts w:ascii="Times New Roman" w:eastAsia="Times New Roman" w:hAnsi="Times New Roman" w:cs="Times New Roman"/>
                <w:i/>
                <w:iCs/>
                <w:color w:val="000000"/>
                <w:sz w:val="18"/>
                <w:szCs w:val="18"/>
                <w:lang w:eastAsia="bg-BG"/>
              </w:rPr>
              <w:t>Проект 2022 г.</w:t>
            </w:r>
          </w:p>
        </w:tc>
        <w:tc>
          <w:tcPr>
            <w:tcW w:w="1420" w:type="dxa"/>
            <w:tcBorders>
              <w:top w:val="nil"/>
              <w:left w:val="nil"/>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jc w:val="center"/>
              <w:rPr>
                <w:rFonts w:ascii="Times New Roman" w:eastAsia="Times New Roman" w:hAnsi="Times New Roman" w:cs="Times New Roman"/>
                <w:color w:val="000000"/>
                <w:sz w:val="18"/>
                <w:szCs w:val="18"/>
                <w:lang w:eastAsia="bg-BG"/>
              </w:rPr>
            </w:pPr>
            <w:r w:rsidRPr="002F5A10">
              <w:rPr>
                <w:rFonts w:ascii="Times New Roman" w:eastAsia="Times New Roman" w:hAnsi="Times New Roman" w:cs="Times New Roman"/>
                <w:color w:val="000000"/>
                <w:sz w:val="18"/>
                <w:szCs w:val="18"/>
                <w:lang w:eastAsia="bg-BG"/>
              </w:rPr>
              <w:t>2 221 995,8</w:t>
            </w:r>
          </w:p>
        </w:tc>
        <w:tc>
          <w:tcPr>
            <w:tcW w:w="1600" w:type="dxa"/>
            <w:tcBorders>
              <w:top w:val="nil"/>
              <w:left w:val="nil"/>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jc w:val="center"/>
              <w:rPr>
                <w:rFonts w:ascii="Times New Roman" w:eastAsia="Times New Roman" w:hAnsi="Times New Roman" w:cs="Times New Roman"/>
                <w:color w:val="000000"/>
                <w:sz w:val="18"/>
                <w:szCs w:val="18"/>
                <w:lang w:eastAsia="bg-BG"/>
              </w:rPr>
            </w:pPr>
            <w:r w:rsidRPr="002F5A10">
              <w:rPr>
                <w:rFonts w:ascii="Times New Roman" w:eastAsia="Times New Roman" w:hAnsi="Times New Roman" w:cs="Times New Roman"/>
                <w:color w:val="000000"/>
                <w:sz w:val="18"/>
                <w:szCs w:val="18"/>
                <w:lang w:eastAsia="bg-BG"/>
              </w:rPr>
              <w:t>3 024,0</w:t>
            </w:r>
          </w:p>
        </w:tc>
        <w:tc>
          <w:tcPr>
            <w:tcW w:w="1680" w:type="dxa"/>
            <w:tcBorders>
              <w:top w:val="nil"/>
              <w:left w:val="nil"/>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jc w:val="center"/>
              <w:rPr>
                <w:rFonts w:ascii="Times New Roman" w:eastAsia="Times New Roman" w:hAnsi="Times New Roman" w:cs="Times New Roman"/>
                <w:color w:val="000000"/>
                <w:sz w:val="18"/>
                <w:szCs w:val="18"/>
                <w:lang w:eastAsia="bg-BG"/>
              </w:rPr>
            </w:pPr>
            <w:r w:rsidRPr="002F5A10">
              <w:rPr>
                <w:rFonts w:ascii="Times New Roman" w:eastAsia="Times New Roman" w:hAnsi="Times New Roman" w:cs="Times New Roman"/>
                <w:color w:val="000000"/>
                <w:sz w:val="18"/>
                <w:szCs w:val="18"/>
                <w:lang w:eastAsia="bg-BG"/>
              </w:rPr>
              <w:t>2 218 971,8</w:t>
            </w:r>
          </w:p>
        </w:tc>
      </w:tr>
      <w:tr w:rsidR="002F5A10" w:rsidRPr="002F5A10" w:rsidTr="002F5A10">
        <w:trPr>
          <w:trHeight w:val="390"/>
        </w:trPr>
        <w:tc>
          <w:tcPr>
            <w:tcW w:w="3397" w:type="dxa"/>
            <w:vMerge/>
            <w:tcBorders>
              <w:top w:val="nil"/>
              <w:left w:val="single" w:sz="4" w:space="0" w:color="auto"/>
              <w:bottom w:val="single" w:sz="4" w:space="0" w:color="auto"/>
              <w:right w:val="single" w:sz="4" w:space="0" w:color="auto"/>
            </w:tcBorders>
            <w:vAlign w:val="center"/>
            <w:hideMark/>
          </w:tcPr>
          <w:p w:rsidR="002F5A10" w:rsidRPr="002F5A10" w:rsidRDefault="002F5A10" w:rsidP="002F5A10">
            <w:pPr>
              <w:spacing w:after="0" w:line="240" w:lineRule="auto"/>
              <w:rPr>
                <w:rFonts w:ascii="Times New Roman" w:eastAsia="Times New Roman" w:hAnsi="Times New Roman" w:cs="Times New Roman"/>
                <w:color w:val="000000"/>
                <w:sz w:val="18"/>
                <w:szCs w:val="18"/>
                <w:lang w:eastAsia="bg-BG"/>
              </w:rPr>
            </w:pPr>
          </w:p>
        </w:tc>
        <w:tc>
          <w:tcPr>
            <w:tcW w:w="1580" w:type="dxa"/>
            <w:tcBorders>
              <w:top w:val="nil"/>
              <w:left w:val="nil"/>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jc w:val="center"/>
              <w:rPr>
                <w:rFonts w:ascii="Times New Roman" w:eastAsia="Times New Roman" w:hAnsi="Times New Roman" w:cs="Times New Roman"/>
                <w:i/>
                <w:iCs/>
                <w:color w:val="000000"/>
                <w:sz w:val="18"/>
                <w:szCs w:val="18"/>
                <w:lang w:eastAsia="bg-BG"/>
              </w:rPr>
            </w:pPr>
            <w:r w:rsidRPr="002F5A10">
              <w:rPr>
                <w:rFonts w:ascii="Times New Roman" w:eastAsia="Times New Roman" w:hAnsi="Times New Roman" w:cs="Times New Roman"/>
                <w:i/>
                <w:iCs/>
                <w:color w:val="000000"/>
                <w:sz w:val="18"/>
                <w:szCs w:val="18"/>
                <w:lang w:eastAsia="bg-BG"/>
              </w:rPr>
              <w:t>Прогноза 2023 г.</w:t>
            </w:r>
          </w:p>
        </w:tc>
        <w:tc>
          <w:tcPr>
            <w:tcW w:w="1420" w:type="dxa"/>
            <w:tcBorders>
              <w:top w:val="nil"/>
              <w:left w:val="nil"/>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jc w:val="center"/>
              <w:rPr>
                <w:rFonts w:ascii="Times New Roman" w:eastAsia="Times New Roman" w:hAnsi="Times New Roman" w:cs="Times New Roman"/>
                <w:color w:val="000000"/>
                <w:sz w:val="18"/>
                <w:szCs w:val="18"/>
                <w:lang w:eastAsia="bg-BG"/>
              </w:rPr>
            </w:pPr>
            <w:r w:rsidRPr="002F5A10">
              <w:rPr>
                <w:rFonts w:ascii="Times New Roman" w:eastAsia="Times New Roman" w:hAnsi="Times New Roman" w:cs="Times New Roman"/>
                <w:color w:val="000000"/>
                <w:sz w:val="18"/>
                <w:szCs w:val="18"/>
                <w:lang w:eastAsia="bg-BG"/>
              </w:rPr>
              <w:t>2 283 656,7</w:t>
            </w:r>
          </w:p>
        </w:tc>
        <w:tc>
          <w:tcPr>
            <w:tcW w:w="1600" w:type="dxa"/>
            <w:tcBorders>
              <w:top w:val="nil"/>
              <w:left w:val="nil"/>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jc w:val="center"/>
              <w:rPr>
                <w:rFonts w:ascii="Times New Roman" w:eastAsia="Times New Roman" w:hAnsi="Times New Roman" w:cs="Times New Roman"/>
                <w:color w:val="000000"/>
                <w:sz w:val="18"/>
                <w:szCs w:val="18"/>
                <w:lang w:eastAsia="bg-BG"/>
              </w:rPr>
            </w:pPr>
            <w:r w:rsidRPr="002F5A10">
              <w:rPr>
                <w:rFonts w:ascii="Times New Roman" w:eastAsia="Times New Roman" w:hAnsi="Times New Roman" w:cs="Times New Roman"/>
                <w:color w:val="000000"/>
                <w:sz w:val="18"/>
                <w:szCs w:val="18"/>
                <w:lang w:eastAsia="bg-BG"/>
              </w:rPr>
              <w:t>3 809,0</w:t>
            </w:r>
          </w:p>
        </w:tc>
        <w:tc>
          <w:tcPr>
            <w:tcW w:w="1680" w:type="dxa"/>
            <w:tcBorders>
              <w:top w:val="nil"/>
              <w:left w:val="nil"/>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jc w:val="center"/>
              <w:rPr>
                <w:rFonts w:ascii="Times New Roman" w:eastAsia="Times New Roman" w:hAnsi="Times New Roman" w:cs="Times New Roman"/>
                <w:color w:val="000000"/>
                <w:sz w:val="18"/>
                <w:szCs w:val="18"/>
                <w:lang w:eastAsia="bg-BG"/>
              </w:rPr>
            </w:pPr>
            <w:r w:rsidRPr="002F5A10">
              <w:rPr>
                <w:rFonts w:ascii="Times New Roman" w:eastAsia="Times New Roman" w:hAnsi="Times New Roman" w:cs="Times New Roman"/>
                <w:color w:val="000000"/>
                <w:sz w:val="18"/>
                <w:szCs w:val="18"/>
                <w:lang w:eastAsia="bg-BG"/>
              </w:rPr>
              <w:t>2 279 847,7</w:t>
            </w:r>
          </w:p>
        </w:tc>
      </w:tr>
      <w:tr w:rsidR="002F5A10" w:rsidRPr="002F5A10" w:rsidTr="002F5A10">
        <w:trPr>
          <w:trHeight w:val="390"/>
        </w:trPr>
        <w:tc>
          <w:tcPr>
            <w:tcW w:w="3397" w:type="dxa"/>
            <w:vMerge/>
            <w:tcBorders>
              <w:top w:val="nil"/>
              <w:left w:val="single" w:sz="4" w:space="0" w:color="auto"/>
              <w:bottom w:val="single" w:sz="4" w:space="0" w:color="auto"/>
              <w:right w:val="single" w:sz="4" w:space="0" w:color="auto"/>
            </w:tcBorders>
            <w:vAlign w:val="center"/>
            <w:hideMark/>
          </w:tcPr>
          <w:p w:rsidR="002F5A10" w:rsidRPr="002F5A10" w:rsidRDefault="002F5A10" w:rsidP="002F5A10">
            <w:pPr>
              <w:spacing w:after="0" w:line="240" w:lineRule="auto"/>
              <w:rPr>
                <w:rFonts w:ascii="Times New Roman" w:eastAsia="Times New Roman" w:hAnsi="Times New Roman" w:cs="Times New Roman"/>
                <w:color w:val="000000"/>
                <w:sz w:val="18"/>
                <w:szCs w:val="18"/>
                <w:lang w:eastAsia="bg-BG"/>
              </w:rPr>
            </w:pPr>
          </w:p>
        </w:tc>
        <w:tc>
          <w:tcPr>
            <w:tcW w:w="1580" w:type="dxa"/>
            <w:tcBorders>
              <w:top w:val="nil"/>
              <w:left w:val="nil"/>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jc w:val="center"/>
              <w:rPr>
                <w:rFonts w:ascii="Times New Roman" w:eastAsia="Times New Roman" w:hAnsi="Times New Roman" w:cs="Times New Roman"/>
                <w:i/>
                <w:iCs/>
                <w:color w:val="000000"/>
                <w:sz w:val="18"/>
                <w:szCs w:val="18"/>
                <w:lang w:eastAsia="bg-BG"/>
              </w:rPr>
            </w:pPr>
            <w:r w:rsidRPr="002F5A10">
              <w:rPr>
                <w:rFonts w:ascii="Times New Roman" w:eastAsia="Times New Roman" w:hAnsi="Times New Roman" w:cs="Times New Roman"/>
                <w:i/>
                <w:iCs/>
                <w:color w:val="000000"/>
                <w:sz w:val="18"/>
                <w:szCs w:val="18"/>
                <w:lang w:eastAsia="bg-BG"/>
              </w:rPr>
              <w:t>Прогноза 2024 г.</w:t>
            </w:r>
          </w:p>
        </w:tc>
        <w:tc>
          <w:tcPr>
            <w:tcW w:w="1420" w:type="dxa"/>
            <w:tcBorders>
              <w:top w:val="nil"/>
              <w:left w:val="nil"/>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jc w:val="center"/>
              <w:rPr>
                <w:rFonts w:ascii="Times New Roman" w:eastAsia="Times New Roman" w:hAnsi="Times New Roman" w:cs="Times New Roman"/>
                <w:color w:val="000000"/>
                <w:sz w:val="18"/>
                <w:szCs w:val="18"/>
                <w:lang w:eastAsia="bg-BG"/>
              </w:rPr>
            </w:pPr>
            <w:r w:rsidRPr="002F5A10">
              <w:rPr>
                <w:rFonts w:ascii="Times New Roman" w:eastAsia="Times New Roman" w:hAnsi="Times New Roman" w:cs="Times New Roman"/>
                <w:color w:val="000000"/>
                <w:sz w:val="18"/>
                <w:szCs w:val="18"/>
                <w:lang w:eastAsia="bg-BG"/>
              </w:rPr>
              <w:t>912 736,9</w:t>
            </w:r>
          </w:p>
        </w:tc>
        <w:tc>
          <w:tcPr>
            <w:tcW w:w="1600" w:type="dxa"/>
            <w:tcBorders>
              <w:top w:val="nil"/>
              <w:left w:val="nil"/>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jc w:val="center"/>
              <w:rPr>
                <w:rFonts w:ascii="Times New Roman" w:eastAsia="Times New Roman" w:hAnsi="Times New Roman" w:cs="Times New Roman"/>
                <w:color w:val="000000"/>
                <w:sz w:val="18"/>
                <w:szCs w:val="18"/>
                <w:lang w:eastAsia="bg-BG"/>
              </w:rPr>
            </w:pPr>
            <w:r w:rsidRPr="002F5A10">
              <w:rPr>
                <w:rFonts w:ascii="Times New Roman" w:eastAsia="Times New Roman" w:hAnsi="Times New Roman" w:cs="Times New Roman"/>
                <w:color w:val="000000"/>
                <w:sz w:val="18"/>
                <w:szCs w:val="18"/>
                <w:lang w:eastAsia="bg-BG"/>
              </w:rPr>
              <w:t>3 564,0</w:t>
            </w:r>
          </w:p>
        </w:tc>
        <w:tc>
          <w:tcPr>
            <w:tcW w:w="1680" w:type="dxa"/>
            <w:tcBorders>
              <w:top w:val="nil"/>
              <w:left w:val="nil"/>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jc w:val="center"/>
              <w:rPr>
                <w:rFonts w:ascii="Times New Roman" w:eastAsia="Times New Roman" w:hAnsi="Times New Roman" w:cs="Times New Roman"/>
                <w:color w:val="000000"/>
                <w:sz w:val="18"/>
                <w:szCs w:val="18"/>
                <w:lang w:eastAsia="bg-BG"/>
              </w:rPr>
            </w:pPr>
            <w:r w:rsidRPr="002F5A10">
              <w:rPr>
                <w:rFonts w:ascii="Times New Roman" w:eastAsia="Times New Roman" w:hAnsi="Times New Roman" w:cs="Times New Roman"/>
                <w:color w:val="000000"/>
                <w:sz w:val="18"/>
                <w:szCs w:val="18"/>
                <w:lang w:eastAsia="bg-BG"/>
              </w:rPr>
              <w:t>909 172,9</w:t>
            </w:r>
          </w:p>
        </w:tc>
      </w:tr>
    </w:tbl>
    <w:p w:rsidR="005F5519" w:rsidRDefault="005F5519" w:rsidP="005F5519">
      <w:pPr>
        <w:pStyle w:val="ListParagraph"/>
        <w:spacing w:after="0" w:line="240" w:lineRule="auto"/>
        <w:ind w:left="1134"/>
        <w:jc w:val="both"/>
        <w:rPr>
          <w:rFonts w:ascii="Times New Roman" w:hAnsi="Times New Roman" w:cs="Times New Roman"/>
          <w:b/>
          <w:i/>
          <w:color w:val="0000CC"/>
        </w:rPr>
      </w:pPr>
    </w:p>
    <w:p w:rsidR="005B4591" w:rsidRPr="0025354B" w:rsidRDefault="005B4591" w:rsidP="00A10F5E">
      <w:pPr>
        <w:spacing w:after="0" w:line="240" w:lineRule="auto"/>
        <w:ind w:firstLine="567"/>
        <w:jc w:val="both"/>
        <w:rPr>
          <w:rFonts w:ascii="Times New Roman" w:eastAsia="Times New Roman" w:hAnsi="Times New Roman" w:cs="Times New Roman"/>
          <w:b/>
          <w:bCs/>
          <w:lang w:eastAsia="bg-BG"/>
        </w:rPr>
      </w:pPr>
      <w:r w:rsidRPr="0025354B">
        <w:rPr>
          <w:rFonts w:ascii="Times New Roman" w:eastAsia="Times New Roman" w:hAnsi="Times New Roman" w:cs="Times New Roman"/>
          <w:b/>
          <w:bCs/>
          <w:lang w:eastAsia="bg-BG"/>
        </w:rPr>
        <w:t>Програма „Развитие на регионите” 2021-2027 г.</w:t>
      </w:r>
    </w:p>
    <w:p w:rsidR="00F265BF" w:rsidRPr="00F265BF" w:rsidRDefault="00F265BF" w:rsidP="00A10F5E">
      <w:pPr>
        <w:tabs>
          <w:tab w:val="left" w:pos="993"/>
        </w:tabs>
        <w:spacing w:after="0" w:line="240" w:lineRule="auto"/>
        <w:ind w:firstLine="567"/>
        <w:jc w:val="both"/>
        <w:rPr>
          <w:rFonts w:ascii="Times New Roman" w:eastAsia="Times New Roman" w:hAnsi="Times New Roman" w:cs="Times New Roman"/>
          <w:b/>
          <w:bCs/>
          <w:i/>
          <w:iCs/>
          <w:lang w:eastAsia="bg-BG"/>
        </w:rPr>
      </w:pPr>
      <w:r w:rsidRPr="00F265BF">
        <w:rPr>
          <w:rFonts w:ascii="Times New Roman" w:eastAsia="Times New Roman" w:hAnsi="Times New Roman" w:cs="Times New Roman"/>
          <w:b/>
          <w:bCs/>
          <w:i/>
          <w:iCs/>
          <w:lang w:eastAsia="bg-BG"/>
        </w:rPr>
        <w:t xml:space="preserve">Стратегически цели: </w:t>
      </w:r>
    </w:p>
    <w:p w:rsidR="00F265BF" w:rsidRPr="00F265BF" w:rsidRDefault="00F265BF" w:rsidP="00A10F5E">
      <w:pPr>
        <w:tabs>
          <w:tab w:val="left" w:pos="993"/>
        </w:tabs>
        <w:spacing w:after="0" w:line="240" w:lineRule="auto"/>
        <w:ind w:firstLine="567"/>
        <w:jc w:val="both"/>
        <w:rPr>
          <w:rFonts w:ascii="Times New Roman" w:eastAsia="Times New Roman" w:hAnsi="Times New Roman" w:cs="Times New Roman"/>
          <w:bCs/>
          <w:i/>
          <w:iCs/>
          <w:lang w:eastAsia="bg-BG"/>
        </w:rPr>
      </w:pPr>
      <w:r w:rsidRPr="00F265BF">
        <w:rPr>
          <w:rFonts w:ascii="Times New Roman" w:eastAsia="Times New Roman" w:hAnsi="Times New Roman" w:cs="Times New Roman"/>
          <w:lang w:eastAsia="bg-BG"/>
        </w:rPr>
        <w:t xml:space="preserve">Основната цел на политиката за регионално развитие в България и, съответно, стратегическа цел на новата Програма „Развитие на регионите“ (ПРР) 2021-2027 г. е да създаде жизнени, силни и устойчиви региони като отговор на неблагоприятните демографски тенденции и задълбочаване на между-регионалните и вътрешно-регионалните различия. </w:t>
      </w:r>
    </w:p>
    <w:p w:rsidR="00F265BF" w:rsidRPr="00F265BF" w:rsidRDefault="00F265BF" w:rsidP="00A10F5E">
      <w:pPr>
        <w:tabs>
          <w:tab w:val="left" w:pos="993"/>
        </w:tabs>
        <w:spacing w:after="0" w:line="240" w:lineRule="auto"/>
        <w:ind w:firstLine="567"/>
        <w:jc w:val="both"/>
        <w:rPr>
          <w:rFonts w:ascii="Times New Roman" w:eastAsia="Times New Roman" w:hAnsi="Times New Roman" w:cs="Times New Roman"/>
          <w:b/>
          <w:bCs/>
          <w:i/>
          <w:iCs/>
          <w:lang w:eastAsia="bg-BG"/>
        </w:rPr>
      </w:pPr>
      <w:r w:rsidRPr="00F265BF">
        <w:rPr>
          <w:rFonts w:ascii="Times New Roman" w:eastAsia="Times New Roman" w:hAnsi="Times New Roman" w:cs="Times New Roman"/>
          <w:b/>
          <w:bCs/>
          <w:i/>
          <w:iCs/>
          <w:lang w:eastAsia="bg-BG"/>
        </w:rPr>
        <w:t>Оперативни цели:</w:t>
      </w:r>
    </w:p>
    <w:p w:rsidR="00F265BF" w:rsidRPr="00F265BF" w:rsidRDefault="00F265BF" w:rsidP="00A10F5E">
      <w:pPr>
        <w:tabs>
          <w:tab w:val="left" w:pos="993"/>
        </w:tabs>
        <w:spacing w:after="0" w:line="240" w:lineRule="auto"/>
        <w:ind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 xml:space="preserve">За постигането на поставената стратегическа цел ще бъдат адресирани следните специфични цели: </w:t>
      </w:r>
    </w:p>
    <w:p w:rsidR="00F265BF" w:rsidRPr="00F265BF" w:rsidRDefault="00F265BF" w:rsidP="00A10F5E">
      <w:pPr>
        <w:numPr>
          <w:ilvl w:val="0"/>
          <w:numId w:val="23"/>
        </w:numPr>
        <w:tabs>
          <w:tab w:val="left" w:pos="851"/>
        </w:tabs>
        <w:spacing w:after="0" w:line="240" w:lineRule="auto"/>
        <w:ind w:left="0"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Насърчаване на балансирано териториално развитие чрез полицентрична мрежа от градове;</w:t>
      </w:r>
    </w:p>
    <w:p w:rsidR="00F265BF" w:rsidRPr="00F265BF" w:rsidRDefault="00F265BF" w:rsidP="00A10F5E">
      <w:pPr>
        <w:numPr>
          <w:ilvl w:val="0"/>
          <w:numId w:val="23"/>
        </w:numPr>
        <w:tabs>
          <w:tab w:val="left" w:pos="851"/>
        </w:tabs>
        <w:spacing w:after="0" w:line="240" w:lineRule="auto"/>
        <w:ind w:left="0"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Увеличаване на икономическия растеж на българските региони;</w:t>
      </w:r>
    </w:p>
    <w:p w:rsidR="00F265BF" w:rsidRPr="00F265BF" w:rsidRDefault="00F265BF" w:rsidP="00A10F5E">
      <w:pPr>
        <w:numPr>
          <w:ilvl w:val="0"/>
          <w:numId w:val="23"/>
        </w:numPr>
        <w:tabs>
          <w:tab w:val="left" w:pos="851"/>
        </w:tabs>
        <w:spacing w:after="0" w:line="240" w:lineRule="auto"/>
        <w:ind w:left="0"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Справяне с негативните демографски тенденции и намаляване на регионалните различия по отношение на населението.</w:t>
      </w:r>
    </w:p>
    <w:p w:rsidR="00F265BF" w:rsidRPr="00F265BF" w:rsidRDefault="00F265BF" w:rsidP="00A10F5E">
      <w:pPr>
        <w:tabs>
          <w:tab w:val="left" w:pos="993"/>
        </w:tabs>
        <w:spacing w:after="0" w:line="240" w:lineRule="auto"/>
        <w:ind w:firstLine="567"/>
        <w:jc w:val="both"/>
        <w:rPr>
          <w:rFonts w:ascii="Times New Roman" w:eastAsia="Times New Roman" w:hAnsi="Times New Roman" w:cs="Times New Roman"/>
          <w:lang w:val="en-US" w:eastAsia="bg-BG"/>
        </w:rPr>
      </w:pPr>
      <w:r w:rsidRPr="00F265BF">
        <w:rPr>
          <w:rFonts w:ascii="Times New Roman" w:eastAsia="Times New Roman" w:hAnsi="Times New Roman" w:cs="Times New Roman"/>
          <w:lang w:eastAsia="bg-BG"/>
        </w:rPr>
        <w:t>Предвижда се ПРР 2021-2027 г. да бъде изцяло насочена към цел на политиката 5 съгласно Регламент 2021/1060 с общите разпоредби за фондовете</w:t>
      </w:r>
      <w:r w:rsidRPr="00F265BF">
        <w:rPr>
          <w:rFonts w:ascii="Times New Roman" w:eastAsia="Times New Roman" w:hAnsi="Times New Roman" w:cs="Times New Roman"/>
          <w:lang w:val="en-US" w:eastAsia="bg-BG"/>
        </w:rPr>
        <w:t xml:space="preserve"> – </w:t>
      </w:r>
      <w:r w:rsidRPr="00F265BF">
        <w:rPr>
          <w:rFonts w:ascii="Times New Roman" w:eastAsia="Times New Roman" w:hAnsi="Times New Roman" w:cs="Times New Roman"/>
          <w:lang w:eastAsia="bg-BG"/>
        </w:rPr>
        <w:t xml:space="preserve">„Европа по-близо до гражданите </w:t>
      </w:r>
      <w:r w:rsidRPr="00F265BF">
        <w:rPr>
          <w:rFonts w:ascii="Times New Roman" w:eastAsia="Times New Roman" w:hAnsi="Times New Roman" w:cs="Times New Roman"/>
          <w:lang w:val="ru-RU" w:eastAsia="bg-BG"/>
        </w:rPr>
        <w:t xml:space="preserve">чрез </w:t>
      </w:r>
      <w:r w:rsidRPr="00F265BF">
        <w:rPr>
          <w:rFonts w:ascii="Times New Roman" w:eastAsia="Times New Roman" w:hAnsi="Times New Roman" w:cs="Times New Roman"/>
          <w:lang w:val="ru-RU" w:eastAsia="bg-BG"/>
        </w:rPr>
        <w:lastRenderedPageBreak/>
        <w:t>насърчаване на устойчивото и интегрирано развитие на градските, селските и крайбрежните райони и на местните инициативи</w:t>
      </w:r>
      <w:r w:rsidRPr="00F265BF">
        <w:rPr>
          <w:rFonts w:ascii="Times New Roman" w:eastAsia="Times New Roman" w:hAnsi="Times New Roman" w:cs="Times New Roman"/>
          <w:lang w:val="en-US" w:eastAsia="bg-BG"/>
        </w:rPr>
        <w:t>”</w:t>
      </w:r>
      <w:r w:rsidRPr="00F265BF">
        <w:rPr>
          <w:rFonts w:ascii="Times New Roman" w:eastAsia="Times New Roman" w:hAnsi="Times New Roman" w:cs="Times New Roman"/>
          <w:lang w:eastAsia="bg-BG"/>
        </w:rPr>
        <w:t>, а целите на оперативната програма да бъдат адресирани чрез прилагането на интегриран териториален подход: средствата по програмата ще се отпускат за финансиране на пакети с интегрирани проекти в изпълнение на приоритетите на интегрирани териториални стратегии, като в подбора на проектите ще участват съответните териториални органи. В допълнение, в рамките на ПРР 2021-2027 г. ще бъдат изпълнявани проекти от териториалните планове за справедлив преход, със средства от Фонда за справедлив преход.</w:t>
      </w:r>
    </w:p>
    <w:p w:rsidR="00F265BF" w:rsidRPr="00F265BF" w:rsidRDefault="00F265BF" w:rsidP="00A10F5E">
      <w:pPr>
        <w:tabs>
          <w:tab w:val="left" w:pos="993"/>
        </w:tabs>
        <w:spacing w:after="0" w:line="240" w:lineRule="auto"/>
        <w:ind w:firstLine="567"/>
        <w:jc w:val="both"/>
        <w:rPr>
          <w:rFonts w:ascii="Times New Roman" w:eastAsia="Times New Roman" w:hAnsi="Times New Roman" w:cs="Times New Roman"/>
          <w:bCs/>
          <w:lang w:eastAsia="bg-BG"/>
        </w:rPr>
      </w:pPr>
      <w:r w:rsidRPr="00F265BF">
        <w:rPr>
          <w:rFonts w:ascii="Times New Roman" w:eastAsia="Times New Roman" w:hAnsi="Times New Roman" w:cs="Times New Roman"/>
          <w:bCs/>
          <w:lang w:eastAsia="bg-BG"/>
        </w:rPr>
        <w:t>Предоставяни по програмата продукти/услуги</w:t>
      </w:r>
    </w:p>
    <w:p w:rsidR="00F265BF" w:rsidRPr="00F265BF" w:rsidRDefault="00F265BF" w:rsidP="00A10F5E">
      <w:pPr>
        <w:tabs>
          <w:tab w:val="left" w:pos="993"/>
        </w:tabs>
        <w:spacing w:after="0" w:line="240" w:lineRule="auto"/>
        <w:ind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ПРР 2021-2027 г. ще финансира основно инфраструктурни мерки в следните направления:</w:t>
      </w:r>
    </w:p>
    <w:p w:rsidR="00F265BF" w:rsidRPr="00F265BF" w:rsidRDefault="00F265BF" w:rsidP="00A10F5E">
      <w:pPr>
        <w:numPr>
          <w:ilvl w:val="0"/>
          <w:numId w:val="23"/>
        </w:numPr>
        <w:tabs>
          <w:tab w:val="left" w:pos="851"/>
        </w:tabs>
        <w:spacing w:after="0" w:line="240" w:lineRule="auto"/>
        <w:ind w:left="0"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социална, образователна, културна, здравна, спортна инфраструктура;</w:t>
      </w:r>
    </w:p>
    <w:p w:rsidR="00F265BF" w:rsidRPr="00F265BF" w:rsidRDefault="00F265BF" w:rsidP="00A10F5E">
      <w:pPr>
        <w:numPr>
          <w:ilvl w:val="0"/>
          <w:numId w:val="23"/>
        </w:numPr>
        <w:tabs>
          <w:tab w:val="left" w:pos="851"/>
        </w:tabs>
        <w:spacing w:after="0" w:line="240" w:lineRule="auto"/>
        <w:ind w:left="0"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енергийна ефективност, устойчива градска мобилност, качествена и безопасна околна среда;</w:t>
      </w:r>
    </w:p>
    <w:p w:rsidR="00F265BF" w:rsidRPr="00F265BF" w:rsidRDefault="00F265BF" w:rsidP="00A10F5E">
      <w:pPr>
        <w:numPr>
          <w:ilvl w:val="0"/>
          <w:numId w:val="23"/>
        </w:numPr>
        <w:tabs>
          <w:tab w:val="left" w:pos="851"/>
        </w:tabs>
        <w:spacing w:after="0" w:line="240" w:lineRule="auto"/>
        <w:ind w:left="0"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инфраструктура за развитие на икономически дейности;</w:t>
      </w:r>
    </w:p>
    <w:p w:rsidR="00F265BF" w:rsidRPr="00F265BF" w:rsidRDefault="00F265BF" w:rsidP="00A10F5E">
      <w:pPr>
        <w:numPr>
          <w:ilvl w:val="0"/>
          <w:numId w:val="23"/>
        </w:numPr>
        <w:tabs>
          <w:tab w:val="left" w:pos="851"/>
        </w:tabs>
        <w:spacing w:after="0" w:line="240" w:lineRule="auto"/>
        <w:ind w:left="0"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инфраструктура за здравеопазване и деинституционализация на базата на картиране (mapping);</w:t>
      </w:r>
    </w:p>
    <w:p w:rsidR="00F265BF" w:rsidRPr="00F265BF" w:rsidRDefault="00F265BF" w:rsidP="00A10F5E">
      <w:pPr>
        <w:numPr>
          <w:ilvl w:val="0"/>
          <w:numId w:val="23"/>
        </w:numPr>
        <w:tabs>
          <w:tab w:val="left" w:pos="851"/>
        </w:tabs>
        <w:spacing w:after="0" w:line="240" w:lineRule="auto"/>
        <w:ind w:left="0"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пътища и безопасност на движението;</w:t>
      </w:r>
    </w:p>
    <w:p w:rsidR="00F265BF" w:rsidRPr="00F265BF" w:rsidRDefault="00F265BF" w:rsidP="00A10F5E">
      <w:pPr>
        <w:numPr>
          <w:ilvl w:val="0"/>
          <w:numId w:val="23"/>
        </w:numPr>
        <w:tabs>
          <w:tab w:val="left" w:pos="851"/>
        </w:tabs>
        <w:spacing w:after="0" w:line="240" w:lineRule="auto"/>
        <w:ind w:left="0"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културно-историческо наследство и туризъм;</w:t>
      </w:r>
    </w:p>
    <w:p w:rsidR="00F265BF" w:rsidRPr="00F265BF" w:rsidRDefault="00F265BF" w:rsidP="00A10F5E">
      <w:pPr>
        <w:numPr>
          <w:ilvl w:val="0"/>
          <w:numId w:val="23"/>
        </w:numPr>
        <w:tabs>
          <w:tab w:val="left" w:pos="851"/>
        </w:tabs>
        <w:spacing w:after="0" w:line="240" w:lineRule="auto"/>
        <w:ind w:left="0"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други дейности, допустими по ЕФРР</w:t>
      </w:r>
      <w:r>
        <w:rPr>
          <w:rFonts w:ascii="Times New Roman" w:eastAsia="Times New Roman" w:hAnsi="Times New Roman" w:cs="Times New Roman"/>
          <w:lang w:eastAsia="bg-BG"/>
        </w:rPr>
        <w:t>.</w:t>
      </w:r>
    </w:p>
    <w:p w:rsidR="00F265BF" w:rsidRPr="00F265BF" w:rsidRDefault="00F265BF" w:rsidP="00A10F5E">
      <w:pPr>
        <w:tabs>
          <w:tab w:val="left" w:pos="993"/>
        </w:tabs>
        <w:spacing w:after="0" w:line="240" w:lineRule="auto"/>
        <w:ind w:firstLine="567"/>
        <w:jc w:val="both"/>
        <w:rPr>
          <w:rFonts w:ascii="Times New Roman" w:eastAsia="Times New Roman" w:hAnsi="Times New Roman" w:cs="Times New Roman"/>
          <w:lang w:eastAsia="bg-BG"/>
        </w:rPr>
      </w:pPr>
      <w:r w:rsidRPr="00F265BF">
        <w:rPr>
          <w:rFonts w:ascii="Times New Roman" w:eastAsia="Times New Roman" w:hAnsi="Times New Roman" w:cs="Times New Roman"/>
          <w:lang w:eastAsia="bg-BG"/>
        </w:rPr>
        <w:t>В допълнение, предвид факта, че предвиждания за изпълнение интегриран териториален подход е нова инициатива и е необходимо изграждане на капацитет за прилагането му, както по отношение на териториалните органи, които ще участват в подбора на проектите, така и на бенефициентите по програмата, се предвижда изпълнението на пътна карта за подобряване на капацитета на УО, териториалните органи (10 градски общини и 6 регионални съвети за развитие), на бенефициентите и партньорите по програмата.</w:t>
      </w:r>
    </w:p>
    <w:p w:rsidR="00676E01" w:rsidRDefault="00676E01" w:rsidP="00A10F5E">
      <w:pPr>
        <w:pStyle w:val="ListParagraph"/>
        <w:tabs>
          <w:tab w:val="left" w:pos="851"/>
        </w:tabs>
        <w:spacing w:after="0" w:line="240" w:lineRule="auto"/>
        <w:ind w:left="567"/>
        <w:jc w:val="both"/>
        <w:rPr>
          <w:rFonts w:ascii="Times New Roman" w:hAnsi="Times New Roman" w:cs="Times New Roman"/>
          <w:b/>
          <w:i/>
          <w:color w:val="0000CC"/>
        </w:rPr>
      </w:pPr>
    </w:p>
    <w:p w:rsidR="00740960" w:rsidRDefault="00230093" w:rsidP="00A10F5E">
      <w:pPr>
        <w:pStyle w:val="ListParagraph"/>
        <w:tabs>
          <w:tab w:val="left" w:pos="851"/>
        </w:tabs>
        <w:spacing w:after="0" w:line="240" w:lineRule="auto"/>
        <w:ind w:left="567"/>
        <w:jc w:val="both"/>
        <w:rPr>
          <w:rFonts w:ascii="Times New Roman" w:hAnsi="Times New Roman" w:cs="Times New Roman"/>
          <w:b/>
          <w:i/>
          <w:color w:val="0000CC"/>
        </w:rPr>
      </w:pPr>
      <w:r w:rsidRPr="009A0A4F">
        <w:rPr>
          <w:rFonts w:ascii="Times New Roman" w:hAnsi="Times New Roman" w:cs="Times New Roman"/>
          <w:b/>
          <w:i/>
          <w:color w:val="0000CC"/>
        </w:rPr>
        <w:t>Ключови индикатори и целеви стойности</w:t>
      </w:r>
      <w:r w:rsidR="00091C5B" w:rsidRPr="009A0A4F">
        <w:rPr>
          <w:rFonts w:ascii="Times New Roman" w:hAnsi="Times New Roman" w:cs="Times New Roman"/>
          <w:b/>
          <w:i/>
          <w:color w:val="0000CC"/>
        </w:rPr>
        <w:t xml:space="preserve"> (попълва се за всяка област на политика)</w:t>
      </w:r>
    </w:p>
    <w:tbl>
      <w:tblPr>
        <w:tblStyle w:val="TableGrid2"/>
        <w:tblW w:w="98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1134"/>
        <w:gridCol w:w="1141"/>
        <w:gridCol w:w="1268"/>
        <w:gridCol w:w="1135"/>
        <w:gridCol w:w="141"/>
      </w:tblGrid>
      <w:tr w:rsidR="008459A5" w:rsidRPr="00FB714C" w:rsidTr="00B250C9">
        <w:trPr>
          <w:gridAfter w:val="1"/>
          <w:wAfter w:w="141" w:type="dxa"/>
          <w:trHeight w:val="801"/>
        </w:trPr>
        <w:tc>
          <w:tcPr>
            <w:tcW w:w="5070" w:type="dxa"/>
          </w:tcPr>
          <w:p w:rsidR="008459A5" w:rsidRPr="00FB714C" w:rsidRDefault="008459A5" w:rsidP="00A10F5E">
            <w:pPr>
              <w:jc w:val="center"/>
              <w:rPr>
                <w:rFonts w:ascii="Times New Roman" w:hAnsi="Times New Roman" w:cs="Times New Roman"/>
                <w:i/>
                <w:iCs/>
                <w:sz w:val="20"/>
                <w:szCs w:val="20"/>
              </w:rPr>
            </w:pPr>
            <w:r w:rsidRPr="00FB714C">
              <w:rPr>
                <w:rFonts w:ascii="Times New Roman" w:hAnsi="Times New Roman" w:cs="Times New Roman"/>
                <w:i/>
                <w:iCs/>
                <w:sz w:val="20"/>
                <w:szCs w:val="20"/>
              </w:rPr>
              <w:t>Област на политика:</w:t>
            </w:r>
          </w:p>
          <w:p w:rsidR="008459A5" w:rsidRPr="00FB714C" w:rsidRDefault="008459A5" w:rsidP="00567CD4">
            <w:pPr>
              <w:rPr>
                <w:rFonts w:ascii="Times New Roman" w:hAnsi="Times New Roman" w:cs="Times New Roman"/>
                <w:b/>
                <w:bCs/>
                <w:sz w:val="20"/>
                <w:szCs w:val="20"/>
              </w:rPr>
            </w:pPr>
            <w:r w:rsidRPr="00FB714C">
              <w:rPr>
                <w:rFonts w:ascii="Times New Roman" w:eastAsia="Times New Roman" w:hAnsi="Times New Roman" w:cs="Times New Roman"/>
                <w:color w:val="000000"/>
                <w:sz w:val="20"/>
                <w:szCs w:val="20"/>
                <w:lang w:eastAsia="bg-BG"/>
              </w:rPr>
              <w:t>Политика за интегрирано развитие на регионите</w:t>
            </w:r>
            <w:r w:rsidR="00567CD4">
              <w:rPr>
                <w:rFonts w:ascii="Times New Roman" w:eastAsia="Times New Roman" w:hAnsi="Times New Roman" w:cs="Times New Roman"/>
                <w:color w:val="000000"/>
                <w:sz w:val="20"/>
                <w:szCs w:val="20"/>
                <w:lang w:eastAsia="bg-BG"/>
              </w:rPr>
              <w:t xml:space="preserve"> за постигане на растеж и подобряване качеството на </w:t>
            </w:r>
            <w:r w:rsidRPr="00FB714C">
              <w:rPr>
                <w:rFonts w:ascii="Times New Roman" w:eastAsia="Times New Roman" w:hAnsi="Times New Roman" w:cs="Times New Roman"/>
                <w:color w:val="000000"/>
                <w:sz w:val="20"/>
                <w:szCs w:val="20"/>
                <w:lang w:eastAsia="bg-BG"/>
              </w:rPr>
              <w:t>жизнената среда</w:t>
            </w:r>
            <w:r w:rsidRPr="00FB714C">
              <w:rPr>
                <w:rFonts w:ascii="Times New Roman" w:hAnsi="Times New Roman" w:cs="Times New Roman"/>
                <w:i/>
                <w:iCs/>
                <w:sz w:val="20"/>
                <w:szCs w:val="20"/>
              </w:rPr>
              <w:t>.</w:t>
            </w:r>
          </w:p>
        </w:tc>
        <w:tc>
          <w:tcPr>
            <w:tcW w:w="1134" w:type="dxa"/>
            <w:vMerge w:val="restart"/>
            <w:shd w:val="clear" w:color="auto" w:fill="F2F2F2" w:themeFill="background1" w:themeFillShade="F2"/>
            <w:vAlign w:val="center"/>
          </w:tcPr>
          <w:p w:rsidR="008459A5" w:rsidRPr="00FB714C" w:rsidRDefault="008459A5" w:rsidP="00B250C9">
            <w:pPr>
              <w:jc w:val="center"/>
              <w:rPr>
                <w:rFonts w:ascii="Times New Roman" w:hAnsi="Times New Roman" w:cs="Times New Roman"/>
                <w:b/>
                <w:bCs/>
                <w:sz w:val="20"/>
                <w:szCs w:val="20"/>
              </w:rPr>
            </w:pPr>
            <w:r w:rsidRPr="00FB714C">
              <w:rPr>
                <w:rFonts w:ascii="Times New Roman" w:hAnsi="Times New Roman" w:cs="Times New Roman"/>
                <w:b/>
                <w:bCs/>
                <w:sz w:val="20"/>
                <w:szCs w:val="20"/>
              </w:rPr>
              <w:t>Мерна единица</w:t>
            </w:r>
          </w:p>
        </w:tc>
        <w:tc>
          <w:tcPr>
            <w:tcW w:w="1141" w:type="dxa"/>
          </w:tcPr>
          <w:p w:rsidR="008459A5" w:rsidRPr="00FB714C" w:rsidRDefault="008459A5" w:rsidP="00A10F5E">
            <w:pPr>
              <w:jc w:val="center"/>
              <w:rPr>
                <w:rFonts w:ascii="Times New Roman" w:hAnsi="Times New Roman" w:cs="Times New Roman"/>
                <w:b/>
                <w:bCs/>
                <w:sz w:val="20"/>
                <w:szCs w:val="20"/>
              </w:rPr>
            </w:pPr>
          </w:p>
        </w:tc>
        <w:tc>
          <w:tcPr>
            <w:tcW w:w="2403" w:type="dxa"/>
            <w:gridSpan w:val="2"/>
            <w:tcBorders>
              <w:top w:val="single" w:sz="4" w:space="0" w:color="auto"/>
              <w:bottom w:val="single" w:sz="4" w:space="0" w:color="auto"/>
            </w:tcBorders>
            <w:vAlign w:val="center"/>
          </w:tcPr>
          <w:p w:rsidR="008459A5" w:rsidRPr="00FB714C" w:rsidRDefault="008459A5" w:rsidP="00B250C9">
            <w:pPr>
              <w:jc w:val="center"/>
              <w:rPr>
                <w:rFonts w:ascii="Times New Roman" w:hAnsi="Times New Roman" w:cs="Times New Roman"/>
                <w:b/>
                <w:bCs/>
                <w:sz w:val="20"/>
                <w:szCs w:val="20"/>
              </w:rPr>
            </w:pPr>
            <w:r w:rsidRPr="00FB714C">
              <w:rPr>
                <w:rFonts w:ascii="Times New Roman" w:hAnsi="Times New Roman" w:cs="Times New Roman"/>
                <w:b/>
                <w:bCs/>
                <w:sz w:val="20"/>
                <w:szCs w:val="20"/>
              </w:rPr>
              <w:t>Целева стойност</w:t>
            </w:r>
          </w:p>
        </w:tc>
      </w:tr>
      <w:tr w:rsidR="006D4941" w:rsidRPr="00FB714C" w:rsidTr="009D0BE9">
        <w:trPr>
          <w:trHeight w:val="200"/>
        </w:trPr>
        <w:tc>
          <w:tcPr>
            <w:tcW w:w="5070" w:type="dxa"/>
            <w:tcBorders>
              <w:bottom w:val="single" w:sz="4" w:space="0" w:color="auto"/>
            </w:tcBorders>
          </w:tcPr>
          <w:p w:rsidR="006D4941" w:rsidRPr="00FB714C" w:rsidRDefault="006D4941" w:rsidP="00A10F5E">
            <w:pPr>
              <w:jc w:val="center"/>
              <w:rPr>
                <w:rFonts w:ascii="Times New Roman" w:hAnsi="Times New Roman" w:cs="Times New Roman"/>
                <w:b/>
                <w:bCs/>
                <w:sz w:val="20"/>
                <w:szCs w:val="20"/>
              </w:rPr>
            </w:pPr>
            <w:r w:rsidRPr="00FB714C">
              <w:rPr>
                <w:rFonts w:ascii="Times New Roman" w:hAnsi="Times New Roman" w:cs="Times New Roman"/>
                <w:b/>
                <w:bCs/>
                <w:sz w:val="20"/>
                <w:szCs w:val="20"/>
              </w:rPr>
              <w:t>Наименование на индикатора</w:t>
            </w:r>
          </w:p>
        </w:tc>
        <w:tc>
          <w:tcPr>
            <w:tcW w:w="1134" w:type="dxa"/>
            <w:vMerge/>
            <w:tcBorders>
              <w:bottom w:val="single" w:sz="4" w:space="0" w:color="auto"/>
            </w:tcBorders>
            <w:shd w:val="clear" w:color="auto" w:fill="F2F2F2" w:themeFill="background1" w:themeFillShade="F2"/>
          </w:tcPr>
          <w:p w:rsidR="006D4941" w:rsidRPr="00FB714C" w:rsidRDefault="006D4941" w:rsidP="00A10F5E">
            <w:pPr>
              <w:jc w:val="center"/>
              <w:rPr>
                <w:rFonts w:ascii="Times New Roman" w:hAnsi="Times New Roman" w:cs="Times New Roman"/>
                <w:b/>
                <w:bCs/>
                <w:sz w:val="20"/>
                <w:szCs w:val="20"/>
              </w:rPr>
            </w:pPr>
          </w:p>
        </w:tc>
        <w:tc>
          <w:tcPr>
            <w:tcW w:w="1141" w:type="dxa"/>
            <w:tcBorders>
              <w:bottom w:val="single" w:sz="4" w:space="0" w:color="auto"/>
            </w:tcBorders>
          </w:tcPr>
          <w:p w:rsidR="006D4941" w:rsidRPr="00FB714C" w:rsidRDefault="006D4941" w:rsidP="00A10F5E">
            <w:pPr>
              <w:jc w:val="center"/>
              <w:rPr>
                <w:rFonts w:ascii="Times New Roman" w:hAnsi="Times New Roman" w:cs="Times New Roman"/>
                <w:b/>
                <w:bCs/>
                <w:i/>
                <w:iCs/>
                <w:sz w:val="20"/>
                <w:szCs w:val="20"/>
              </w:rPr>
            </w:pPr>
            <w:r w:rsidRPr="00FB714C">
              <w:rPr>
                <w:rFonts w:ascii="Times New Roman" w:hAnsi="Times New Roman" w:cs="Times New Roman"/>
                <w:b/>
                <w:bCs/>
                <w:i/>
                <w:iCs/>
                <w:sz w:val="20"/>
                <w:szCs w:val="20"/>
              </w:rPr>
              <w:t>Про</w:t>
            </w:r>
            <w:r w:rsidR="00FE0B47">
              <w:rPr>
                <w:rFonts w:ascii="Times New Roman" w:hAnsi="Times New Roman" w:cs="Times New Roman"/>
                <w:b/>
                <w:bCs/>
                <w:i/>
                <w:iCs/>
                <w:sz w:val="20"/>
                <w:szCs w:val="20"/>
              </w:rPr>
              <w:t>ект</w:t>
            </w:r>
            <w:r w:rsidR="006F4BDD" w:rsidRPr="00FB714C">
              <w:rPr>
                <w:rFonts w:ascii="Times New Roman" w:hAnsi="Times New Roman" w:cs="Times New Roman"/>
                <w:b/>
                <w:bCs/>
                <w:i/>
                <w:iCs/>
                <w:sz w:val="20"/>
                <w:szCs w:val="20"/>
              </w:rPr>
              <w:t xml:space="preserve"> 2022</w:t>
            </w:r>
            <w:r w:rsidRPr="00FB714C">
              <w:rPr>
                <w:rFonts w:ascii="Times New Roman" w:hAnsi="Times New Roman" w:cs="Times New Roman"/>
                <w:b/>
                <w:bCs/>
                <w:i/>
                <w:iCs/>
                <w:sz w:val="20"/>
                <w:szCs w:val="20"/>
              </w:rPr>
              <w:t xml:space="preserve"> г.</w:t>
            </w:r>
          </w:p>
        </w:tc>
        <w:tc>
          <w:tcPr>
            <w:tcW w:w="1268" w:type="dxa"/>
            <w:tcBorders>
              <w:top w:val="single" w:sz="4" w:space="0" w:color="auto"/>
              <w:bottom w:val="single" w:sz="4" w:space="0" w:color="auto"/>
            </w:tcBorders>
          </w:tcPr>
          <w:p w:rsidR="006D4941" w:rsidRPr="00FB714C" w:rsidRDefault="006D4941" w:rsidP="00A10F5E">
            <w:pPr>
              <w:jc w:val="center"/>
              <w:rPr>
                <w:rFonts w:ascii="Times New Roman" w:hAnsi="Times New Roman" w:cs="Times New Roman"/>
                <w:b/>
                <w:bCs/>
                <w:i/>
                <w:iCs/>
                <w:sz w:val="20"/>
                <w:szCs w:val="20"/>
              </w:rPr>
            </w:pPr>
            <w:r w:rsidRPr="00FB714C">
              <w:rPr>
                <w:rFonts w:ascii="Times New Roman" w:hAnsi="Times New Roman" w:cs="Times New Roman"/>
                <w:b/>
                <w:bCs/>
                <w:i/>
                <w:iCs/>
                <w:sz w:val="20"/>
                <w:szCs w:val="20"/>
              </w:rPr>
              <w:t>Прогноза</w:t>
            </w:r>
          </w:p>
          <w:p w:rsidR="006D4941" w:rsidRPr="00FB714C" w:rsidRDefault="006D4941" w:rsidP="00A10F5E">
            <w:pPr>
              <w:jc w:val="center"/>
              <w:rPr>
                <w:rFonts w:ascii="Times New Roman" w:hAnsi="Times New Roman" w:cs="Times New Roman"/>
                <w:b/>
                <w:bCs/>
                <w:sz w:val="20"/>
                <w:szCs w:val="20"/>
              </w:rPr>
            </w:pPr>
            <w:r w:rsidRPr="00FB714C">
              <w:rPr>
                <w:rFonts w:ascii="Times New Roman" w:hAnsi="Times New Roman" w:cs="Times New Roman"/>
                <w:b/>
                <w:bCs/>
                <w:i/>
                <w:iCs/>
                <w:sz w:val="20"/>
                <w:szCs w:val="20"/>
              </w:rPr>
              <w:t>20</w:t>
            </w:r>
            <w:r w:rsidRPr="00FB714C">
              <w:rPr>
                <w:rFonts w:ascii="Times New Roman" w:hAnsi="Times New Roman" w:cs="Times New Roman"/>
                <w:b/>
                <w:bCs/>
                <w:i/>
                <w:iCs/>
                <w:sz w:val="20"/>
                <w:szCs w:val="20"/>
                <w:lang w:val="en-US"/>
              </w:rPr>
              <w:t>2</w:t>
            </w:r>
            <w:r w:rsidR="006F4BDD" w:rsidRPr="00FB714C">
              <w:rPr>
                <w:rFonts w:ascii="Times New Roman" w:hAnsi="Times New Roman" w:cs="Times New Roman"/>
                <w:b/>
                <w:bCs/>
                <w:i/>
                <w:iCs/>
                <w:sz w:val="20"/>
                <w:szCs w:val="20"/>
              </w:rPr>
              <w:t>3</w:t>
            </w:r>
            <w:r w:rsidRPr="00FB714C">
              <w:rPr>
                <w:rFonts w:ascii="Times New Roman" w:hAnsi="Times New Roman" w:cs="Times New Roman"/>
                <w:b/>
                <w:bCs/>
                <w:i/>
                <w:iCs/>
                <w:sz w:val="20"/>
                <w:szCs w:val="20"/>
              </w:rPr>
              <w:t xml:space="preserve"> г.</w:t>
            </w:r>
          </w:p>
        </w:tc>
        <w:tc>
          <w:tcPr>
            <w:tcW w:w="1276" w:type="dxa"/>
            <w:gridSpan w:val="2"/>
            <w:tcBorders>
              <w:top w:val="single" w:sz="4" w:space="0" w:color="auto"/>
              <w:bottom w:val="single" w:sz="4" w:space="0" w:color="auto"/>
            </w:tcBorders>
          </w:tcPr>
          <w:p w:rsidR="006D4941" w:rsidRPr="00FB714C" w:rsidRDefault="006D4941" w:rsidP="00A10F5E">
            <w:pPr>
              <w:jc w:val="center"/>
              <w:rPr>
                <w:rFonts w:ascii="Times New Roman" w:hAnsi="Times New Roman" w:cs="Times New Roman"/>
                <w:b/>
                <w:bCs/>
                <w:i/>
                <w:iCs/>
                <w:sz w:val="20"/>
                <w:szCs w:val="20"/>
              </w:rPr>
            </w:pPr>
            <w:r w:rsidRPr="00FB714C">
              <w:rPr>
                <w:rFonts w:ascii="Times New Roman" w:hAnsi="Times New Roman" w:cs="Times New Roman"/>
                <w:b/>
                <w:bCs/>
                <w:i/>
                <w:iCs/>
                <w:sz w:val="20"/>
                <w:szCs w:val="20"/>
              </w:rPr>
              <w:t>Прогноза</w:t>
            </w:r>
          </w:p>
          <w:p w:rsidR="006D4941" w:rsidRPr="00FB714C" w:rsidRDefault="006D4941" w:rsidP="00A10F5E">
            <w:pPr>
              <w:jc w:val="center"/>
              <w:rPr>
                <w:rFonts w:ascii="Times New Roman" w:hAnsi="Times New Roman" w:cs="Times New Roman"/>
                <w:b/>
                <w:bCs/>
                <w:sz w:val="20"/>
                <w:szCs w:val="20"/>
              </w:rPr>
            </w:pPr>
            <w:r w:rsidRPr="00FB714C">
              <w:rPr>
                <w:rFonts w:ascii="Times New Roman" w:hAnsi="Times New Roman" w:cs="Times New Roman"/>
                <w:b/>
                <w:bCs/>
                <w:i/>
                <w:iCs/>
                <w:sz w:val="20"/>
                <w:szCs w:val="20"/>
              </w:rPr>
              <w:t>20</w:t>
            </w:r>
            <w:r w:rsidRPr="00FB714C">
              <w:rPr>
                <w:rFonts w:ascii="Times New Roman" w:hAnsi="Times New Roman" w:cs="Times New Roman"/>
                <w:b/>
                <w:bCs/>
                <w:i/>
                <w:iCs/>
                <w:sz w:val="20"/>
                <w:szCs w:val="20"/>
                <w:lang w:val="en-US"/>
              </w:rPr>
              <w:t>2</w:t>
            </w:r>
            <w:r w:rsidR="006F4BDD" w:rsidRPr="00FB714C">
              <w:rPr>
                <w:rFonts w:ascii="Times New Roman" w:hAnsi="Times New Roman" w:cs="Times New Roman"/>
                <w:b/>
                <w:bCs/>
                <w:i/>
                <w:iCs/>
                <w:sz w:val="20"/>
                <w:szCs w:val="20"/>
              </w:rPr>
              <w:t>4</w:t>
            </w:r>
            <w:r w:rsidRPr="00FB714C">
              <w:rPr>
                <w:rFonts w:ascii="Times New Roman" w:hAnsi="Times New Roman" w:cs="Times New Roman"/>
                <w:b/>
                <w:bCs/>
                <w:i/>
                <w:iCs/>
                <w:sz w:val="20"/>
                <w:szCs w:val="20"/>
              </w:rPr>
              <w:t xml:space="preserve"> г.</w:t>
            </w:r>
          </w:p>
        </w:tc>
      </w:tr>
      <w:tr w:rsidR="002362A8" w:rsidRPr="00FB714C" w:rsidTr="000970F2">
        <w:trPr>
          <w:trHeight w:val="834"/>
        </w:trPr>
        <w:tc>
          <w:tcPr>
            <w:tcW w:w="5070" w:type="dxa"/>
            <w:tcBorders>
              <w:top w:val="single" w:sz="4" w:space="0" w:color="auto"/>
              <w:bottom w:val="nil"/>
            </w:tcBorders>
            <w:vAlign w:val="center"/>
          </w:tcPr>
          <w:p w:rsidR="002362A8" w:rsidRPr="00FB714C" w:rsidRDefault="002362A8" w:rsidP="00A10F5E">
            <w:pPr>
              <w:rPr>
                <w:rFonts w:ascii="Times New Roman" w:eastAsia="Times New Roman" w:hAnsi="Times New Roman" w:cs="Times New Roman"/>
                <w:sz w:val="20"/>
                <w:szCs w:val="20"/>
                <w:lang w:eastAsia="bg-BG"/>
              </w:rPr>
            </w:pPr>
            <w:r w:rsidRPr="00FB714C">
              <w:rPr>
                <w:rFonts w:ascii="Times New Roman" w:hAnsi="Times New Roman" w:cs="Times New Roman"/>
                <w:sz w:val="20"/>
                <w:szCs w:val="20"/>
              </w:rPr>
              <w:t>1.</w:t>
            </w:r>
            <w:r w:rsidRPr="00FB714C">
              <w:rPr>
                <w:rFonts w:ascii="Times New Roman" w:hAnsi="Times New Roman" w:cs="Times New Roman"/>
                <w:b/>
                <w:sz w:val="20"/>
                <w:szCs w:val="20"/>
              </w:rPr>
              <w:t xml:space="preserve"> </w:t>
            </w:r>
            <w:r w:rsidRPr="00FB714C">
              <w:rPr>
                <w:rFonts w:ascii="Times New Roman" w:eastAsia="Times New Roman" w:hAnsi="Times New Roman" w:cs="Times New Roman"/>
                <w:sz w:val="20"/>
                <w:szCs w:val="20"/>
                <w:lang w:eastAsia="bg-BG"/>
              </w:rPr>
              <w:t>Изпълнение на Пътна карта за нови подходи в регионалната политика</w:t>
            </w:r>
            <w:r w:rsidRPr="00FB714C">
              <w:rPr>
                <w:rFonts w:ascii="Times New Roman" w:eastAsia="Times New Roman" w:hAnsi="Times New Roman" w:cs="Times New Roman"/>
                <w:sz w:val="20"/>
                <w:szCs w:val="20"/>
                <w:lang w:val="en-US" w:eastAsia="bg-BG"/>
              </w:rPr>
              <w:t xml:space="preserve"> </w:t>
            </w:r>
            <w:r w:rsidRPr="00FB714C">
              <w:rPr>
                <w:rFonts w:ascii="Times New Roman" w:eastAsia="Times New Roman" w:hAnsi="Times New Roman" w:cs="Times New Roman"/>
                <w:sz w:val="20"/>
                <w:szCs w:val="20"/>
                <w:lang w:eastAsia="bg-BG"/>
              </w:rPr>
              <w:t>с цел създаване на условия за балансирано териториално развитие</w:t>
            </w:r>
          </w:p>
          <w:p w:rsidR="002362A8" w:rsidRPr="004D4CC6" w:rsidRDefault="002362A8" w:rsidP="00A10F5E">
            <w:pPr>
              <w:rPr>
                <w:rFonts w:ascii="Times New Roman" w:eastAsia="Times New Roman" w:hAnsi="Times New Roman" w:cs="Times New Roman"/>
                <w:sz w:val="20"/>
                <w:szCs w:val="20"/>
                <w:lang w:eastAsia="bg-BG"/>
              </w:rPr>
            </w:pPr>
            <w:r w:rsidRPr="00FB714C">
              <w:rPr>
                <w:rFonts w:ascii="Times New Roman" w:eastAsia="Times New Roman" w:hAnsi="Times New Roman" w:cs="Times New Roman"/>
                <w:sz w:val="20"/>
                <w:szCs w:val="20"/>
                <w:lang w:eastAsia="bg-BG"/>
              </w:rPr>
              <w:t>(с натрупване)</w:t>
            </w:r>
          </w:p>
        </w:tc>
        <w:tc>
          <w:tcPr>
            <w:tcW w:w="1134" w:type="dxa"/>
            <w:tcBorders>
              <w:top w:val="single" w:sz="4" w:space="0" w:color="auto"/>
              <w:bottom w:val="nil"/>
            </w:tcBorders>
            <w:shd w:val="clear" w:color="auto" w:fill="F2F2F2" w:themeFill="background1" w:themeFillShade="F2"/>
            <w:vAlign w:val="center"/>
          </w:tcPr>
          <w:p w:rsidR="002362A8" w:rsidRPr="00FB714C" w:rsidRDefault="002362A8" w:rsidP="00A10F5E">
            <w:pPr>
              <w:jc w:val="center"/>
              <w:rPr>
                <w:rFonts w:ascii="Times New Roman" w:hAnsi="Times New Roman" w:cs="Times New Roman"/>
                <w:sz w:val="20"/>
                <w:szCs w:val="20"/>
                <w:lang w:val="en-US"/>
              </w:rPr>
            </w:pPr>
            <w:r w:rsidRPr="00FB714C">
              <w:rPr>
                <w:rFonts w:ascii="Times New Roman" w:hAnsi="Times New Roman" w:cs="Times New Roman"/>
                <w:sz w:val="20"/>
                <w:szCs w:val="20"/>
              </w:rPr>
              <w:t>%</w:t>
            </w:r>
          </w:p>
        </w:tc>
        <w:tc>
          <w:tcPr>
            <w:tcW w:w="1141" w:type="dxa"/>
            <w:tcBorders>
              <w:top w:val="single" w:sz="4" w:space="0" w:color="auto"/>
              <w:bottom w:val="nil"/>
            </w:tcBorders>
            <w:vAlign w:val="center"/>
          </w:tcPr>
          <w:p w:rsidR="002362A8" w:rsidRPr="00FB714C" w:rsidRDefault="002362A8" w:rsidP="00A10F5E">
            <w:pPr>
              <w:jc w:val="center"/>
              <w:rPr>
                <w:rFonts w:ascii="Times New Roman" w:hAnsi="Times New Roman" w:cs="Times New Roman"/>
                <w:sz w:val="20"/>
                <w:szCs w:val="20"/>
              </w:rPr>
            </w:pPr>
            <w:r w:rsidRPr="00FB714C">
              <w:rPr>
                <w:rFonts w:ascii="Times New Roman" w:hAnsi="Times New Roman" w:cs="Times New Roman"/>
                <w:sz w:val="20"/>
                <w:szCs w:val="20"/>
              </w:rPr>
              <w:t>100</w:t>
            </w:r>
          </w:p>
        </w:tc>
        <w:tc>
          <w:tcPr>
            <w:tcW w:w="1268" w:type="dxa"/>
            <w:tcBorders>
              <w:top w:val="single" w:sz="4" w:space="0" w:color="auto"/>
              <w:bottom w:val="nil"/>
            </w:tcBorders>
            <w:vAlign w:val="center"/>
          </w:tcPr>
          <w:p w:rsidR="002362A8" w:rsidRPr="00FB714C" w:rsidRDefault="00237363" w:rsidP="00A10F5E">
            <w:pPr>
              <w:jc w:val="center"/>
              <w:rPr>
                <w:rFonts w:ascii="Times New Roman" w:hAnsi="Times New Roman" w:cs="Times New Roman"/>
                <w:sz w:val="20"/>
                <w:szCs w:val="20"/>
                <w:lang w:val="en-US"/>
              </w:rPr>
            </w:pPr>
            <w:r w:rsidRPr="00FB714C">
              <w:rPr>
                <w:rFonts w:ascii="Times New Roman" w:hAnsi="Times New Roman" w:cs="Times New Roman"/>
                <w:sz w:val="20"/>
                <w:szCs w:val="20"/>
              </w:rPr>
              <w:t>30</w:t>
            </w:r>
          </w:p>
        </w:tc>
        <w:tc>
          <w:tcPr>
            <w:tcW w:w="1276" w:type="dxa"/>
            <w:gridSpan w:val="2"/>
            <w:tcBorders>
              <w:top w:val="single" w:sz="4" w:space="0" w:color="auto"/>
              <w:bottom w:val="nil"/>
            </w:tcBorders>
            <w:vAlign w:val="center"/>
          </w:tcPr>
          <w:p w:rsidR="002362A8" w:rsidRPr="00FB714C" w:rsidRDefault="002362A8" w:rsidP="00A10F5E">
            <w:pPr>
              <w:jc w:val="center"/>
              <w:rPr>
                <w:rFonts w:ascii="Times New Roman" w:hAnsi="Times New Roman" w:cs="Times New Roman"/>
                <w:sz w:val="20"/>
                <w:szCs w:val="20"/>
              </w:rPr>
            </w:pPr>
            <w:r w:rsidRPr="00CE6D5B">
              <w:rPr>
                <w:rFonts w:ascii="Times New Roman" w:hAnsi="Times New Roman" w:cs="Times New Roman"/>
                <w:sz w:val="20"/>
                <w:szCs w:val="20"/>
              </w:rPr>
              <w:t>30</w:t>
            </w:r>
          </w:p>
        </w:tc>
      </w:tr>
      <w:tr w:rsidR="002362A8" w:rsidRPr="00FB714C" w:rsidTr="00A10F5E">
        <w:trPr>
          <w:trHeight w:val="232"/>
        </w:trPr>
        <w:tc>
          <w:tcPr>
            <w:tcW w:w="5070" w:type="dxa"/>
            <w:tcBorders>
              <w:top w:val="single" w:sz="4" w:space="0" w:color="auto"/>
              <w:bottom w:val="nil"/>
            </w:tcBorders>
            <w:vAlign w:val="center"/>
          </w:tcPr>
          <w:p w:rsidR="002362A8" w:rsidRPr="00FB714C" w:rsidRDefault="002362A8" w:rsidP="00A10F5E">
            <w:pPr>
              <w:rPr>
                <w:rFonts w:ascii="Times New Roman" w:hAnsi="Times New Roman" w:cs="Times New Roman"/>
                <w:b/>
                <w:sz w:val="20"/>
                <w:szCs w:val="20"/>
              </w:rPr>
            </w:pPr>
            <w:r w:rsidRPr="00FB714C">
              <w:rPr>
                <w:rFonts w:ascii="Times New Roman" w:eastAsia="Times New Roman" w:hAnsi="Times New Roman" w:cs="Times New Roman"/>
                <w:sz w:val="20"/>
                <w:szCs w:val="20"/>
                <w:lang w:eastAsia="bg-BG"/>
              </w:rPr>
              <w:t>2. Намаляване на дела на мигриралото население (вътрешна миграция)</w:t>
            </w:r>
          </w:p>
        </w:tc>
        <w:tc>
          <w:tcPr>
            <w:tcW w:w="1134" w:type="dxa"/>
            <w:tcBorders>
              <w:top w:val="single" w:sz="4" w:space="0" w:color="auto"/>
              <w:bottom w:val="nil"/>
            </w:tcBorders>
            <w:shd w:val="clear" w:color="auto" w:fill="F2F2F2" w:themeFill="background1" w:themeFillShade="F2"/>
            <w:vAlign w:val="center"/>
          </w:tcPr>
          <w:p w:rsidR="002362A8" w:rsidRPr="00FB714C" w:rsidRDefault="002362A8" w:rsidP="00A10F5E">
            <w:pPr>
              <w:jc w:val="center"/>
              <w:rPr>
                <w:rFonts w:ascii="Times New Roman" w:hAnsi="Times New Roman" w:cs="Times New Roman"/>
                <w:sz w:val="20"/>
                <w:szCs w:val="20"/>
                <w:lang w:val="en-US"/>
              </w:rPr>
            </w:pPr>
            <w:r w:rsidRPr="00FB714C">
              <w:rPr>
                <w:rFonts w:ascii="Times New Roman" w:hAnsi="Times New Roman" w:cs="Times New Roman"/>
                <w:sz w:val="20"/>
                <w:szCs w:val="20"/>
              </w:rPr>
              <w:t>%</w:t>
            </w:r>
          </w:p>
        </w:tc>
        <w:tc>
          <w:tcPr>
            <w:tcW w:w="1141" w:type="dxa"/>
            <w:tcBorders>
              <w:top w:val="single" w:sz="4" w:space="0" w:color="auto"/>
              <w:bottom w:val="nil"/>
            </w:tcBorders>
            <w:vAlign w:val="center"/>
          </w:tcPr>
          <w:p w:rsidR="002362A8" w:rsidRPr="00FB714C" w:rsidRDefault="002362A8" w:rsidP="00A10F5E">
            <w:pPr>
              <w:jc w:val="center"/>
              <w:rPr>
                <w:rFonts w:ascii="Times New Roman" w:hAnsi="Times New Roman" w:cs="Times New Roman"/>
                <w:sz w:val="20"/>
                <w:szCs w:val="20"/>
                <w:lang w:val="en-US"/>
              </w:rPr>
            </w:pPr>
            <w:r w:rsidRPr="00FB714C">
              <w:rPr>
                <w:rFonts w:ascii="Times New Roman" w:hAnsi="Times New Roman" w:cs="Times New Roman"/>
                <w:sz w:val="20"/>
                <w:szCs w:val="20"/>
              </w:rPr>
              <w:t>2,0</w:t>
            </w:r>
            <w:r w:rsidRPr="00FB714C">
              <w:rPr>
                <w:rFonts w:ascii="Times New Roman" w:hAnsi="Times New Roman" w:cs="Times New Roman"/>
                <w:sz w:val="20"/>
                <w:szCs w:val="20"/>
                <w:lang w:val="en-US"/>
              </w:rPr>
              <w:t>2</w:t>
            </w:r>
          </w:p>
        </w:tc>
        <w:tc>
          <w:tcPr>
            <w:tcW w:w="1268" w:type="dxa"/>
            <w:tcBorders>
              <w:top w:val="single" w:sz="4" w:space="0" w:color="auto"/>
              <w:bottom w:val="nil"/>
            </w:tcBorders>
            <w:vAlign w:val="center"/>
          </w:tcPr>
          <w:p w:rsidR="002362A8" w:rsidRPr="00FB714C" w:rsidRDefault="00237363" w:rsidP="00A10F5E">
            <w:pPr>
              <w:jc w:val="center"/>
              <w:rPr>
                <w:rFonts w:ascii="Times New Roman" w:hAnsi="Times New Roman" w:cs="Times New Roman"/>
                <w:sz w:val="20"/>
                <w:szCs w:val="20"/>
              </w:rPr>
            </w:pPr>
            <w:r w:rsidRPr="00FB714C">
              <w:rPr>
                <w:rFonts w:ascii="Times New Roman" w:eastAsia="Times New Roman" w:hAnsi="Times New Roman" w:cs="Times New Roman"/>
                <w:sz w:val="20"/>
                <w:szCs w:val="20"/>
                <w:lang w:eastAsia="bg-BG"/>
              </w:rPr>
              <w:t>2,01</w:t>
            </w:r>
          </w:p>
        </w:tc>
        <w:tc>
          <w:tcPr>
            <w:tcW w:w="1276" w:type="dxa"/>
            <w:gridSpan w:val="2"/>
            <w:tcBorders>
              <w:top w:val="single" w:sz="4" w:space="0" w:color="auto"/>
              <w:bottom w:val="nil"/>
            </w:tcBorders>
            <w:vAlign w:val="center"/>
          </w:tcPr>
          <w:p w:rsidR="002362A8" w:rsidRPr="00FB714C" w:rsidRDefault="002362A8" w:rsidP="00A10F5E">
            <w:pPr>
              <w:jc w:val="center"/>
              <w:rPr>
                <w:rFonts w:ascii="Times New Roman" w:hAnsi="Times New Roman" w:cs="Times New Roman"/>
                <w:sz w:val="20"/>
                <w:szCs w:val="20"/>
                <w:lang w:val="en-US"/>
              </w:rPr>
            </w:pPr>
            <w:r w:rsidRPr="00CE6D5B">
              <w:rPr>
                <w:rFonts w:ascii="Times New Roman" w:hAnsi="Times New Roman" w:cs="Times New Roman"/>
                <w:sz w:val="20"/>
                <w:szCs w:val="20"/>
              </w:rPr>
              <w:t>2,0</w:t>
            </w:r>
            <w:r w:rsidRPr="00CE6D5B">
              <w:rPr>
                <w:rFonts w:ascii="Times New Roman" w:hAnsi="Times New Roman" w:cs="Times New Roman"/>
                <w:sz w:val="20"/>
                <w:szCs w:val="20"/>
                <w:lang w:val="en-US"/>
              </w:rPr>
              <w:t>1</w:t>
            </w:r>
          </w:p>
        </w:tc>
      </w:tr>
      <w:tr w:rsidR="00CB1305" w:rsidRPr="00FB714C" w:rsidTr="00A10F5E">
        <w:trPr>
          <w:trHeight w:val="325"/>
        </w:trPr>
        <w:tc>
          <w:tcPr>
            <w:tcW w:w="5070" w:type="dxa"/>
            <w:tcBorders>
              <w:top w:val="single" w:sz="4" w:space="0" w:color="auto"/>
              <w:bottom w:val="nil"/>
            </w:tcBorders>
            <w:vAlign w:val="center"/>
          </w:tcPr>
          <w:p w:rsidR="00CB1305" w:rsidRPr="00FB714C" w:rsidRDefault="00CB1305" w:rsidP="00A10F5E">
            <w:pPr>
              <w:tabs>
                <w:tab w:val="left" w:pos="284"/>
              </w:tabs>
              <w:rPr>
                <w:rFonts w:ascii="Times New Roman" w:hAnsi="Times New Roman" w:cs="Times New Roman"/>
                <w:sz w:val="20"/>
                <w:szCs w:val="20"/>
              </w:rPr>
            </w:pPr>
            <w:r w:rsidRPr="00FB714C">
              <w:rPr>
                <w:rFonts w:ascii="Times New Roman" w:hAnsi="Times New Roman" w:cs="Times New Roman"/>
                <w:sz w:val="20"/>
                <w:szCs w:val="20"/>
              </w:rPr>
              <w:t>3. Брой реконструирани/възстановени културни и исторически обекти</w:t>
            </w:r>
          </w:p>
        </w:tc>
        <w:tc>
          <w:tcPr>
            <w:tcW w:w="1134" w:type="dxa"/>
            <w:tcBorders>
              <w:top w:val="single" w:sz="4" w:space="0" w:color="auto"/>
              <w:bottom w:val="nil"/>
            </w:tcBorders>
            <w:shd w:val="clear" w:color="auto" w:fill="F2F2F2" w:themeFill="background1" w:themeFillShade="F2"/>
            <w:vAlign w:val="center"/>
          </w:tcPr>
          <w:p w:rsidR="00CB1305" w:rsidRPr="00FB714C" w:rsidRDefault="00CB1305" w:rsidP="00A10F5E">
            <w:pPr>
              <w:jc w:val="center"/>
              <w:rPr>
                <w:rFonts w:ascii="Times New Roman" w:hAnsi="Times New Roman" w:cs="Times New Roman"/>
                <w:sz w:val="20"/>
                <w:szCs w:val="20"/>
              </w:rPr>
            </w:pPr>
            <w:r w:rsidRPr="00FB714C">
              <w:rPr>
                <w:rFonts w:ascii="Times New Roman" w:hAnsi="Times New Roman" w:cs="Times New Roman"/>
                <w:sz w:val="20"/>
                <w:szCs w:val="20"/>
              </w:rPr>
              <w:t>брой</w:t>
            </w:r>
          </w:p>
        </w:tc>
        <w:tc>
          <w:tcPr>
            <w:tcW w:w="1141" w:type="dxa"/>
            <w:tcBorders>
              <w:top w:val="single" w:sz="4" w:space="0" w:color="auto"/>
              <w:bottom w:val="nil"/>
            </w:tcBorders>
            <w:vAlign w:val="center"/>
          </w:tcPr>
          <w:p w:rsidR="00CB1305" w:rsidRPr="00FB714C" w:rsidRDefault="00CB1305" w:rsidP="00A10F5E">
            <w:pPr>
              <w:jc w:val="center"/>
              <w:rPr>
                <w:rFonts w:ascii="Times New Roman" w:hAnsi="Times New Roman" w:cs="Times New Roman"/>
                <w:sz w:val="20"/>
                <w:szCs w:val="20"/>
              </w:rPr>
            </w:pPr>
          </w:p>
        </w:tc>
        <w:tc>
          <w:tcPr>
            <w:tcW w:w="1268" w:type="dxa"/>
            <w:tcBorders>
              <w:top w:val="single" w:sz="4" w:space="0" w:color="auto"/>
              <w:bottom w:val="nil"/>
            </w:tcBorders>
            <w:vAlign w:val="center"/>
          </w:tcPr>
          <w:p w:rsidR="00CB1305" w:rsidRPr="00FB714C" w:rsidRDefault="00CB1305" w:rsidP="00A10F5E">
            <w:pPr>
              <w:jc w:val="center"/>
              <w:rPr>
                <w:rFonts w:ascii="Times New Roman" w:hAnsi="Times New Roman" w:cs="Times New Roman"/>
                <w:sz w:val="20"/>
                <w:szCs w:val="20"/>
              </w:rPr>
            </w:pPr>
          </w:p>
        </w:tc>
        <w:tc>
          <w:tcPr>
            <w:tcW w:w="1276" w:type="dxa"/>
            <w:gridSpan w:val="2"/>
            <w:tcBorders>
              <w:top w:val="single" w:sz="4" w:space="0" w:color="auto"/>
              <w:bottom w:val="nil"/>
            </w:tcBorders>
            <w:vAlign w:val="center"/>
          </w:tcPr>
          <w:p w:rsidR="00CB1305" w:rsidRPr="00FB714C" w:rsidRDefault="00CB1305" w:rsidP="0006563D">
            <w:pPr>
              <w:jc w:val="center"/>
              <w:rPr>
                <w:rFonts w:ascii="Times New Roman" w:hAnsi="Times New Roman" w:cs="Times New Roman"/>
                <w:sz w:val="20"/>
                <w:szCs w:val="20"/>
              </w:rPr>
            </w:pPr>
            <w:r w:rsidRPr="00FB714C">
              <w:rPr>
                <w:rFonts w:ascii="Times New Roman" w:hAnsi="Times New Roman" w:cs="Times New Roman"/>
                <w:sz w:val="20"/>
                <w:szCs w:val="20"/>
              </w:rPr>
              <w:t>55</w:t>
            </w:r>
            <w:r w:rsidRPr="00FB714C">
              <w:rPr>
                <w:rFonts w:ascii="Times New Roman" w:hAnsi="Times New Roman" w:cs="Times New Roman"/>
                <w:b/>
                <w:bCs/>
                <w:sz w:val="20"/>
                <w:szCs w:val="20"/>
              </w:rPr>
              <w:t>*</w:t>
            </w:r>
          </w:p>
        </w:tc>
      </w:tr>
      <w:tr w:rsidR="00CB1305" w:rsidRPr="00FB714C" w:rsidTr="00A10F5E">
        <w:trPr>
          <w:trHeight w:val="196"/>
        </w:trPr>
        <w:tc>
          <w:tcPr>
            <w:tcW w:w="5070" w:type="dxa"/>
            <w:tcBorders>
              <w:top w:val="single" w:sz="4" w:space="0" w:color="auto"/>
              <w:bottom w:val="nil"/>
            </w:tcBorders>
            <w:vAlign w:val="center"/>
          </w:tcPr>
          <w:p w:rsidR="00CB1305" w:rsidRPr="00FB714C" w:rsidRDefault="00CB1305" w:rsidP="00A10F5E">
            <w:pPr>
              <w:rPr>
                <w:rFonts w:ascii="Times New Roman" w:hAnsi="Times New Roman" w:cs="Times New Roman"/>
                <w:sz w:val="20"/>
                <w:szCs w:val="20"/>
              </w:rPr>
            </w:pPr>
            <w:r w:rsidRPr="00FB714C">
              <w:rPr>
                <w:rFonts w:ascii="Times New Roman" w:hAnsi="Times New Roman" w:cs="Times New Roman"/>
                <w:sz w:val="20"/>
                <w:szCs w:val="20"/>
              </w:rPr>
              <w:t>4. Население, възползващо се от мерки за защита от наводнения или горски пожари</w:t>
            </w:r>
          </w:p>
        </w:tc>
        <w:tc>
          <w:tcPr>
            <w:tcW w:w="1134" w:type="dxa"/>
            <w:tcBorders>
              <w:top w:val="single" w:sz="4" w:space="0" w:color="auto"/>
              <w:bottom w:val="nil"/>
            </w:tcBorders>
            <w:shd w:val="clear" w:color="auto" w:fill="F2F2F2" w:themeFill="background1" w:themeFillShade="F2"/>
            <w:vAlign w:val="center"/>
          </w:tcPr>
          <w:p w:rsidR="00CB1305" w:rsidRPr="00FB714C" w:rsidRDefault="00CB1305" w:rsidP="00A10F5E">
            <w:pPr>
              <w:jc w:val="center"/>
              <w:rPr>
                <w:rFonts w:ascii="Times New Roman" w:hAnsi="Times New Roman" w:cs="Times New Roman"/>
                <w:sz w:val="20"/>
                <w:szCs w:val="20"/>
              </w:rPr>
            </w:pPr>
            <w:r w:rsidRPr="00FB714C">
              <w:rPr>
                <w:rFonts w:ascii="Times New Roman" w:hAnsi="Times New Roman" w:cs="Times New Roman"/>
                <w:sz w:val="20"/>
                <w:szCs w:val="20"/>
              </w:rPr>
              <w:t>брой</w:t>
            </w:r>
          </w:p>
        </w:tc>
        <w:tc>
          <w:tcPr>
            <w:tcW w:w="1141" w:type="dxa"/>
            <w:tcBorders>
              <w:top w:val="single" w:sz="4" w:space="0" w:color="auto"/>
              <w:bottom w:val="nil"/>
            </w:tcBorders>
            <w:vAlign w:val="center"/>
          </w:tcPr>
          <w:p w:rsidR="00CB1305" w:rsidRPr="00FB714C" w:rsidRDefault="00CB1305" w:rsidP="00A10F5E">
            <w:pPr>
              <w:jc w:val="center"/>
              <w:rPr>
                <w:rFonts w:ascii="Times New Roman" w:hAnsi="Times New Roman" w:cs="Times New Roman"/>
                <w:sz w:val="20"/>
                <w:szCs w:val="20"/>
                <w:lang w:val="en-US"/>
              </w:rPr>
            </w:pPr>
          </w:p>
        </w:tc>
        <w:tc>
          <w:tcPr>
            <w:tcW w:w="1268" w:type="dxa"/>
            <w:tcBorders>
              <w:top w:val="single" w:sz="4" w:space="0" w:color="auto"/>
              <w:bottom w:val="nil"/>
            </w:tcBorders>
            <w:vAlign w:val="center"/>
          </w:tcPr>
          <w:p w:rsidR="00CB1305" w:rsidRPr="00FB714C" w:rsidRDefault="00CB1305" w:rsidP="00A10F5E">
            <w:pPr>
              <w:jc w:val="center"/>
              <w:rPr>
                <w:rFonts w:ascii="Times New Roman" w:hAnsi="Times New Roman" w:cs="Times New Roman"/>
                <w:sz w:val="20"/>
                <w:szCs w:val="20"/>
              </w:rPr>
            </w:pPr>
          </w:p>
        </w:tc>
        <w:tc>
          <w:tcPr>
            <w:tcW w:w="1276" w:type="dxa"/>
            <w:gridSpan w:val="2"/>
            <w:tcBorders>
              <w:top w:val="single" w:sz="4" w:space="0" w:color="auto"/>
              <w:bottom w:val="nil"/>
            </w:tcBorders>
            <w:vAlign w:val="center"/>
          </w:tcPr>
          <w:p w:rsidR="00CB1305" w:rsidRPr="00FB714C" w:rsidRDefault="00CB1305" w:rsidP="0006563D">
            <w:pPr>
              <w:jc w:val="center"/>
              <w:rPr>
                <w:rFonts w:ascii="Times New Roman" w:hAnsi="Times New Roman" w:cs="Times New Roman"/>
                <w:sz w:val="20"/>
                <w:szCs w:val="20"/>
              </w:rPr>
            </w:pPr>
            <w:r w:rsidRPr="00FB714C">
              <w:rPr>
                <w:rFonts w:ascii="Times New Roman" w:hAnsi="Times New Roman" w:cs="Times New Roman"/>
                <w:sz w:val="20"/>
                <w:szCs w:val="20"/>
              </w:rPr>
              <w:t>4</w:t>
            </w:r>
            <w:r>
              <w:rPr>
                <w:rFonts w:ascii="Times New Roman" w:hAnsi="Times New Roman" w:cs="Times New Roman"/>
                <w:sz w:val="20"/>
                <w:szCs w:val="20"/>
              </w:rPr>
              <w:t xml:space="preserve"> </w:t>
            </w:r>
            <w:r w:rsidRPr="00FB714C">
              <w:rPr>
                <w:rFonts w:ascii="Times New Roman" w:hAnsi="Times New Roman" w:cs="Times New Roman"/>
                <w:sz w:val="20"/>
                <w:szCs w:val="20"/>
              </w:rPr>
              <w:t>400</w:t>
            </w:r>
            <w:r>
              <w:rPr>
                <w:rFonts w:ascii="Times New Roman" w:hAnsi="Times New Roman" w:cs="Times New Roman"/>
                <w:sz w:val="20"/>
                <w:szCs w:val="20"/>
              </w:rPr>
              <w:t xml:space="preserve"> </w:t>
            </w:r>
            <w:r w:rsidRPr="00FB714C">
              <w:rPr>
                <w:rFonts w:ascii="Times New Roman" w:hAnsi="Times New Roman" w:cs="Times New Roman"/>
                <w:sz w:val="20"/>
                <w:szCs w:val="20"/>
              </w:rPr>
              <w:t>856</w:t>
            </w:r>
            <w:r w:rsidRPr="00FB714C">
              <w:rPr>
                <w:rFonts w:ascii="Times New Roman" w:hAnsi="Times New Roman" w:cs="Times New Roman"/>
                <w:b/>
                <w:bCs/>
                <w:sz w:val="20"/>
                <w:szCs w:val="20"/>
              </w:rPr>
              <w:t>*</w:t>
            </w:r>
          </w:p>
        </w:tc>
      </w:tr>
      <w:tr w:rsidR="00CB1305" w:rsidRPr="00FB714C" w:rsidTr="00A10F5E">
        <w:trPr>
          <w:trHeight w:val="196"/>
        </w:trPr>
        <w:tc>
          <w:tcPr>
            <w:tcW w:w="5070" w:type="dxa"/>
            <w:tcBorders>
              <w:top w:val="single" w:sz="4" w:space="0" w:color="auto"/>
              <w:bottom w:val="nil"/>
            </w:tcBorders>
            <w:vAlign w:val="center"/>
          </w:tcPr>
          <w:p w:rsidR="00CB1305" w:rsidRPr="00FB714C" w:rsidRDefault="00CB1305" w:rsidP="00A10F5E">
            <w:pPr>
              <w:rPr>
                <w:rFonts w:ascii="Times New Roman" w:hAnsi="Times New Roman" w:cs="Times New Roman"/>
                <w:sz w:val="20"/>
                <w:szCs w:val="20"/>
              </w:rPr>
            </w:pPr>
            <w:r w:rsidRPr="00FB714C">
              <w:rPr>
                <w:rFonts w:ascii="Times New Roman" w:hAnsi="Times New Roman" w:cs="Times New Roman"/>
                <w:sz w:val="20"/>
                <w:szCs w:val="20"/>
              </w:rPr>
              <w:t>5. Общ брой младежи, включени в схеми за младежко предприемачество и инициативи</w:t>
            </w:r>
          </w:p>
        </w:tc>
        <w:tc>
          <w:tcPr>
            <w:tcW w:w="1134" w:type="dxa"/>
            <w:tcBorders>
              <w:top w:val="single" w:sz="4" w:space="0" w:color="auto"/>
              <w:bottom w:val="nil"/>
            </w:tcBorders>
            <w:shd w:val="clear" w:color="auto" w:fill="F2F2F2" w:themeFill="background1" w:themeFillShade="F2"/>
            <w:vAlign w:val="center"/>
          </w:tcPr>
          <w:p w:rsidR="00CB1305" w:rsidRPr="00FB714C" w:rsidRDefault="00CB1305" w:rsidP="00A10F5E">
            <w:pPr>
              <w:jc w:val="center"/>
              <w:rPr>
                <w:rFonts w:ascii="Times New Roman" w:hAnsi="Times New Roman" w:cs="Times New Roman"/>
                <w:sz w:val="20"/>
                <w:szCs w:val="20"/>
              </w:rPr>
            </w:pPr>
            <w:r w:rsidRPr="00FB714C">
              <w:rPr>
                <w:rFonts w:ascii="Times New Roman" w:hAnsi="Times New Roman" w:cs="Times New Roman"/>
                <w:sz w:val="20"/>
                <w:szCs w:val="20"/>
              </w:rPr>
              <w:t>брой</w:t>
            </w:r>
          </w:p>
        </w:tc>
        <w:tc>
          <w:tcPr>
            <w:tcW w:w="1141" w:type="dxa"/>
            <w:tcBorders>
              <w:top w:val="single" w:sz="4" w:space="0" w:color="auto"/>
              <w:bottom w:val="nil"/>
            </w:tcBorders>
            <w:vAlign w:val="center"/>
          </w:tcPr>
          <w:p w:rsidR="00CB1305" w:rsidRPr="00FB714C" w:rsidRDefault="00CB1305" w:rsidP="00A10F5E">
            <w:pPr>
              <w:jc w:val="center"/>
              <w:rPr>
                <w:rFonts w:ascii="Times New Roman" w:hAnsi="Times New Roman" w:cs="Times New Roman"/>
                <w:sz w:val="20"/>
                <w:szCs w:val="20"/>
                <w:lang w:val="en-US"/>
              </w:rPr>
            </w:pPr>
          </w:p>
        </w:tc>
        <w:tc>
          <w:tcPr>
            <w:tcW w:w="1268" w:type="dxa"/>
            <w:tcBorders>
              <w:top w:val="single" w:sz="4" w:space="0" w:color="auto"/>
              <w:bottom w:val="nil"/>
            </w:tcBorders>
            <w:vAlign w:val="center"/>
          </w:tcPr>
          <w:p w:rsidR="00CB1305" w:rsidRPr="00FB714C" w:rsidRDefault="00CB1305" w:rsidP="00A10F5E">
            <w:pPr>
              <w:jc w:val="center"/>
              <w:rPr>
                <w:rFonts w:ascii="Times New Roman" w:hAnsi="Times New Roman" w:cs="Times New Roman"/>
                <w:sz w:val="20"/>
                <w:szCs w:val="20"/>
              </w:rPr>
            </w:pPr>
          </w:p>
        </w:tc>
        <w:tc>
          <w:tcPr>
            <w:tcW w:w="1276" w:type="dxa"/>
            <w:gridSpan w:val="2"/>
            <w:tcBorders>
              <w:top w:val="single" w:sz="4" w:space="0" w:color="auto"/>
              <w:bottom w:val="nil"/>
            </w:tcBorders>
            <w:vAlign w:val="center"/>
          </w:tcPr>
          <w:p w:rsidR="00CB1305" w:rsidRPr="00FB714C" w:rsidRDefault="00CB1305" w:rsidP="0006563D">
            <w:pPr>
              <w:jc w:val="center"/>
              <w:rPr>
                <w:rFonts w:ascii="Times New Roman" w:hAnsi="Times New Roman" w:cs="Times New Roman"/>
                <w:sz w:val="20"/>
                <w:szCs w:val="20"/>
              </w:rPr>
            </w:pPr>
            <w:r w:rsidRPr="00FB714C">
              <w:rPr>
                <w:rFonts w:ascii="Times New Roman" w:hAnsi="Times New Roman" w:cs="Times New Roman"/>
                <w:bCs/>
                <w:sz w:val="20"/>
                <w:szCs w:val="20"/>
              </w:rPr>
              <w:t>573</w:t>
            </w:r>
            <w:r w:rsidRPr="00FB714C">
              <w:rPr>
                <w:rFonts w:ascii="Times New Roman" w:hAnsi="Times New Roman" w:cs="Times New Roman"/>
                <w:b/>
                <w:bCs/>
                <w:sz w:val="20"/>
                <w:szCs w:val="20"/>
              </w:rPr>
              <w:t>*</w:t>
            </w:r>
          </w:p>
        </w:tc>
      </w:tr>
      <w:tr w:rsidR="00CB1305" w:rsidRPr="00FB714C" w:rsidTr="00A10F5E">
        <w:trPr>
          <w:trHeight w:val="196"/>
        </w:trPr>
        <w:tc>
          <w:tcPr>
            <w:tcW w:w="5070" w:type="dxa"/>
            <w:tcBorders>
              <w:top w:val="single" w:sz="4" w:space="0" w:color="auto"/>
              <w:bottom w:val="nil"/>
            </w:tcBorders>
            <w:vAlign w:val="center"/>
          </w:tcPr>
          <w:p w:rsidR="00CB1305" w:rsidRPr="00FB714C" w:rsidRDefault="00CB1305" w:rsidP="00A10F5E">
            <w:pPr>
              <w:rPr>
                <w:rFonts w:ascii="Times New Roman" w:hAnsi="Times New Roman" w:cs="Times New Roman"/>
                <w:sz w:val="20"/>
                <w:szCs w:val="20"/>
              </w:rPr>
            </w:pPr>
            <w:r w:rsidRPr="00FB714C">
              <w:rPr>
                <w:rFonts w:ascii="Times New Roman" w:hAnsi="Times New Roman" w:cs="Times New Roman"/>
                <w:sz w:val="20"/>
                <w:szCs w:val="20"/>
              </w:rPr>
              <w:t>6. Брой участници в инициативи за обучение и квалификация</w:t>
            </w:r>
          </w:p>
        </w:tc>
        <w:tc>
          <w:tcPr>
            <w:tcW w:w="1134" w:type="dxa"/>
            <w:tcBorders>
              <w:top w:val="single" w:sz="4" w:space="0" w:color="auto"/>
              <w:bottom w:val="nil"/>
            </w:tcBorders>
            <w:shd w:val="clear" w:color="auto" w:fill="F2F2F2" w:themeFill="background1" w:themeFillShade="F2"/>
            <w:vAlign w:val="center"/>
          </w:tcPr>
          <w:p w:rsidR="00CB1305" w:rsidRPr="00FB714C" w:rsidRDefault="00CB1305" w:rsidP="00A10F5E">
            <w:pPr>
              <w:jc w:val="center"/>
              <w:rPr>
                <w:rFonts w:ascii="Times New Roman" w:hAnsi="Times New Roman" w:cs="Times New Roman"/>
                <w:sz w:val="20"/>
                <w:szCs w:val="20"/>
              </w:rPr>
            </w:pPr>
            <w:r w:rsidRPr="00FB714C">
              <w:rPr>
                <w:rFonts w:ascii="Times New Roman" w:hAnsi="Times New Roman" w:cs="Times New Roman"/>
                <w:sz w:val="20"/>
                <w:szCs w:val="20"/>
              </w:rPr>
              <w:t>брой</w:t>
            </w:r>
          </w:p>
        </w:tc>
        <w:tc>
          <w:tcPr>
            <w:tcW w:w="1141" w:type="dxa"/>
            <w:tcBorders>
              <w:top w:val="single" w:sz="4" w:space="0" w:color="auto"/>
              <w:bottom w:val="nil"/>
            </w:tcBorders>
            <w:vAlign w:val="center"/>
          </w:tcPr>
          <w:p w:rsidR="00CB1305" w:rsidRPr="00FB714C" w:rsidRDefault="00CB1305" w:rsidP="00A10F5E">
            <w:pPr>
              <w:jc w:val="center"/>
              <w:rPr>
                <w:rFonts w:ascii="Times New Roman" w:hAnsi="Times New Roman" w:cs="Times New Roman"/>
                <w:sz w:val="20"/>
                <w:szCs w:val="20"/>
                <w:lang w:val="en-US"/>
              </w:rPr>
            </w:pPr>
          </w:p>
        </w:tc>
        <w:tc>
          <w:tcPr>
            <w:tcW w:w="1268" w:type="dxa"/>
            <w:tcBorders>
              <w:top w:val="single" w:sz="4" w:space="0" w:color="auto"/>
              <w:bottom w:val="nil"/>
            </w:tcBorders>
            <w:vAlign w:val="center"/>
          </w:tcPr>
          <w:p w:rsidR="00CB1305" w:rsidRPr="00FB714C" w:rsidRDefault="00CB1305" w:rsidP="00A10F5E">
            <w:pPr>
              <w:jc w:val="center"/>
              <w:rPr>
                <w:rFonts w:ascii="Times New Roman" w:hAnsi="Times New Roman" w:cs="Times New Roman"/>
                <w:sz w:val="20"/>
                <w:szCs w:val="20"/>
              </w:rPr>
            </w:pPr>
          </w:p>
        </w:tc>
        <w:tc>
          <w:tcPr>
            <w:tcW w:w="1276" w:type="dxa"/>
            <w:gridSpan w:val="2"/>
            <w:tcBorders>
              <w:top w:val="single" w:sz="4" w:space="0" w:color="auto"/>
              <w:bottom w:val="nil"/>
            </w:tcBorders>
            <w:vAlign w:val="center"/>
          </w:tcPr>
          <w:p w:rsidR="00CB1305" w:rsidRPr="00FB714C" w:rsidRDefault="00CB1305" w:rsidP="0006563D">
            <w:pPr>
              <w:jc w:val="center"/>
              <w:rPr>
                <w:rFonts w:ascii="Times New Roman" w:hAnsi="Times New Roman" w:cs="Times New Roman"/>
                <w:sz w:val="20"/>
                <w:szCs w:val="20"/>
              </w:rPr>
            </w:pPr>
            <w:r w:rsidRPr="00FB714C">
              <w:rPr>
                <w:rFonts w:ascii="Times New Roman" w:hAnsi="Times New Roman" w:cs="Times New Roman"/>
                <w:bCs/>
                <w:sz w:val="20"/>
                <w:szCs w:val="20"/>
              </w:rPr>
              <w:t>150</w:t>
            </w:r>
            <w:r w:rsidRPr="00FB714C">
              <w:rPr>
                <w:rFonts w:ascii="Times New Roman" w:hAnsi="Times New Roman" w:cs="Times New Roman"/>
                <w:b/>
                <w:bCs/>
                <w:sz w:val="20"/>
                <w:szCs w:val="20"/>
              </w:rPr>
              <w:t>*</w:t>
            </w:r>
          </w:p>
        </w:tc>
      </w:tr>
      <w:tr w:rsidR="007712E3" w:rsidRPr="00FB714C" w:rsidTr="003C41E2">
        <w:trPr>
          <w:trHeight w:val="196"/>
        </w:trPr>
        <w:tc>
          <w:tcPr>
            <w:tcW w:w="5070" w:type="dxa"/>
            <w:tcBorders>
              <w:top w:val="single" w:sz="4" w:space="0" w:color="auto"/>
              <w:bottom w:val="single" w:sz="4" w:space="0" w:color="auto"/>
            </w:tcBorders>
            <w:vAlign w:val="center"/>
          </w:tcPr>
          <w:p w:rsidR="007712E3" w:rsidRPr="001A7F8A" w:rsidRDefault="007712E3" w:rsidP="007712E3">
            <w:pPr>
              <w:rPr>
                <w:rFonts w:ascii="Times New Roman" w:hAnsi="Times New Roman" w:cs="Times New Roman"/>
                <w:color w:val="000000" w:themeColor="text1"/>
                <w:sz w:val="20"/>
                <w:szCs w:val="20"/>
              </w:rPr>
            </w:pPr>
            <w:r w:rsidRPr="001A7F8A">
              <w:rPr>
                <w:rFonts w:ascii="Times New Roman" w:hAnsi="Times New Roman" w:cs="Times New Roman"/>
                <w:color w:val="000000" w:themeColor="text1"/>
                <w:sz w:val="20"/>
                <w:szCs w:val="20"/>
              </w:rPr>
              <w:t xml:space="preserve">7. Нарастване потенциала на АТЕ за ефективно и ефикасно планиране, управление и използване на ресурсите за устойчиво местно развитие </w:t>
            </w:r>
          </w:p>
          <w:p w:rsidR="007712E3" w:rsidRPr="001A7F8A" w:rsidRDefault="007712E3" w:rsidP="007712E3">
            <w:pPr>
              <w:tabs>
                <w:tab w:val="left" w:pos="690"/>
              </w:tabs>
              <w:rPr>
                <w:rFonts w:ascii="Times New Roman" w:hAnsi="Times New Roman" w:cs="Times New Roman"/>
                <w:color w:val="000000" w:themeColor="text1"/>
                <w:sz w:val="20"/>
                <w:szCs w:val="20"/>
              </w:rPr>
            </w:pPr>
            <w:r w:rsidRPr="001A7F8A">
              <w:rPr>
                <w:rFonts w:ascii="Times New Roman" w:hAnsi="Times New Roman" w:cs="Times New Roman"/>
                <w:i/>
                <w:color w:val="000000" w:themeColor="text1"/>
                <w:sz w:val="20"/>
                <w:szCs w:val="20"/>
              </w:rPr>
              <w:t>(нарастване дела на общините, отчитащи резултати над средните за страната по показатели за финансова самостоятелност и инвестиционна активност</w:t>
            </w:r>
            <w:r w:rsidRPr="001A7F8A">
              <w:rPr>
                <w:rFonts w:ascii="Times New Roman" w:hAnsi="Times New Roman" w:cs="Times New Roman"/>
                <w:color w:val="000000" w:themeColor="text1"/>
                <w:sz w:val="20"/>
                <w:szCs w:val="20"/>
              </w:rPr>
              <w:t>)</w:t>
            </w:r>
          </w:p>
        </w:tc>
        <w:tc>
          <w:tcPr>
            <w:tcW w:w="1134" w:type="dxa"/>
            <w:tcBorders>
              <w:top w:val="single" w:sz="4" w:space="0" w:color="auto"/>
              <w:bottom w:val="single" w:sz="4" w:space="0" w:color="auto"/>
            </w:tcBorders>
            <w:shd w:val="clear" w:color="auto" w:fill="F2F2F2" w:themeFill="background1" w:themeFillShade="F2"/>
            <w:vAlign w:val="center"/>
          </w:tcPr>
          <w:p w:rsidR="007712E3" w:rsidRPr="001A7F8A" w:rsidRDefault="007712E3" w:rsidP="007712E3">
            <w:pPr>
              <w:jc w:val="center"/>
              <w:rPr>
                <w:rFonts w:ascii="Times New Roman" w:hAnsi="Times New Roman" w:cs="Times New Roman"/>
                <w:color w:val="000000" w:themeColor="text1"/>
                <w:sz w:val="20"/>
                <w:szCs w:val="20"/>
              </w:rPr>
            </w:pPr>
            <w:r w:rsidRPr="001A7F8A">
              <w:rPr>
                <w:rFonts w:ascii="Times New Roman" w:hAnsi="Times New Roman" w:cs="Times New Roman"/>
                <w:sz w:val="20"/>
                <w:szCs w:val="20"/>
              </w:rPr>
              <w:t>%</w:t>
            </w:r>
          </w:p>
        </w:tc>
        <w:tc>
          <w:tcPr>
            <w:tcW w:w="1141" w:type="dxa"/>
            <w:tcBorders>
              <w:top w:val="single" w:sz="4" w:space="0" w:color="auto"/>
              <w:bottom w:val="single" w:sz="4" w:space="0" w:color="auto"/>
            </w:tcBorders>
            <w:vAlign w:val="center"/>
          </w:tcPr>
          <w:p w:rsidR="007712E3" w:rsidRPr="001A7F8A" w:rsidRDefault="007712E3" w:rsidP="007712E3">
            <w:pPr>
              <w:jc w:val="center"/>
              <w:rPr>
                <w:rFonts w:ascii="Times New Roman" w:hAnsi="Times New Roman" w:cs="Times New Roman"/>
                <w:color w:val="000000" w:themeColor="text1"/>
                <w:sz w:val="20"/>
                <w:szCs w:val="20"/>
              </w:rPr>
            </w:pPr>
            <w:r w:rsidRPr="001A7F8A">
              <w:rPr>
                <w:rFonts w:ascii="Times New Roman" w:hAnsi="Times New Roman" w:cs="Times New Roman"/>
                <w:color w:val="000000" w:themeColor="text1"/>
                <w:sz w:val="20"/>
                <w:szCs w:val="20"/>
              </w:rPr>
              <w:t>1,0</w:t>
            </w:r>
          </w:p>
        </w:tc>
        <w:tc>
          <w:tcPr>
            <w:tcW w:w="1268" w:type="dxa"/>
            <w:tcBorders>
              <w:top w:val="single" w:sz="4" w:space="0" w:color="auto"/>
              <w:bottom w:val="single" w:sz="4" w:space="0" w:color="auto"/>
            </w:tcBorders>
            <w:vAlign w:val="center"/>
          </w:tcPr>
          <w:p w:rsidR="007712E3" w:rsidRPr="001A7F8A" w:rsidRDefault="007712E3" w:rsidP="007712E3">
            <w:pPr>
              <w:jc w:val="center"/>
              <w:rPr>
                <w:rFonts w:ascii="Times New Roman" w:hAnsi="Times New Roman" w:cs="Times New Roman"/>
                <w:color w:val="000000" w:themeColor="text1"/>
                <w:sz w:val="20"/>
                <w:szCs w:val="20"/>
              </w:rPr>
            </w:pPr>
            <w:r w:rsidRPr="001A7F8A">
              <w:rPr>
                <w:rFonts w:ascii="Times New Roman" w:hAnsi="Times New Roman" w:cs="Times New Roman"/>
                <w:color w:val="000000" w:themeColor="text1"/>
                <w:sz w:val="20"/>
                <w:szCs w:val="20"/>
              </w:rPr>
              <w:t>1,1</w:t>
            </w:r>
          </w:p>
        </w:tc>
        <w:tc>
          <w:tcPr>
            <w:tcW w:w="1276" w:type="dxa"/>
            <w:gridSpan w:val="2"/>
            <w:tcBorders>
              <w:top w:val="single" w:sz="4" w:space="0" w:color="auto"/>
              <w:bottom w:val="single" w:sz="4" w:space="0" w:color="auto"/>
            </w:tcBorders>
            <w:vAlign w:val="center"/>
          </w:tcPr>
          <w:p w:rsidR="007712E3" w:rsidRPr="0006563D" w:rsidRDefault="007712E3" w:rsidP="007712E3">
            <w:pPr>
              <w:jc w:val="center"/>
              <w:rPr>
                <w:rFonts w:ascii="Times New Roman" w:hAnsi="Times New Roman" w:cs="Times New Roman"/>
                <w:color w:val="000000" w:themeColor="text1"/>
                <w:sz w:val="20"/>
                <w:szCs w:val="20"/>
                <w:lang w:val="en-US"/>
              </w:rPr>
            </w:pPr>
            <w:r w:rsidRPr="001A7F8A">
              <w:rPr>
                <w:rFonts w:ascii="Times New Roman" w:hAnsi="Times New Roman" w:cs="Times New Roman"/>
                <w:color w:val="000000" w:themeColor="text1"/>
                <w:sz w:val="20"/>
                <w:szCs w:val="20"/>
              </w:rPr>
              <w:t>1,2</w:t>
            </w:r>
            <w:r w:rsidR="0006563D">
              <w:rPr>
                <w:rFonts w:ascii="Times New Roman" w:hAnsi="Times New Roman" w:cs="Times New Roman"/>
                <w:color w:val="000000" w:themeColor="text1"/>
                <w:sz w:val="20"/>
                <w:szCs w:val="20"/>
                <w:lang w:val="en-US"/>
              </w:rPr>
              <w:t>**</w:t>
            </w:r>
          </w:p>
        </w:tc>
      </w:tr>
      <w:tr w:rsidR="007712E3" w:rsidRPr="00FB714C" w:rsidTr="00211B4A">
        <w:trPr>
          <w:trHeight w:val="70"/>
        </w:trPr>
        <w:tc>
          <w:tcPr>
            <w:tcW w:w="5070" w:type="dxa"/>
            <w:tcBorders>
              <w:top w:val="single" w:sz="4" w:space="0" w:color="auto"/>
              <w:bottom w:val="nil"/>
            </w:tcBorders>
          </w:tcPr>
          <w:p w:rsidR="007712E3" w:rsidRPr="00FB714C" w:rsidRDefault="007712E3" w:rsidP="007712E3">
            <w:pPr>
              <w:rPr>
                <w:rFonts w:ascii="Times New Roman" w:hAnsi="Times New Roman" w:cs="Times New Roman"/>
                <w:sz w:val="20"/>
                <w:szCs w:val="20"/>
              </w:rPr>
            </w:pPr>
          </w:p>
        </w:tc>
        <w:tc>
          <w:tcPr>
            <w:tcW w:w="1134" w:type="dxa"/>
            <w:tcBorders>
              <w:top w:val="single" w:sz="4" w:space="0" w:color="auto"/>
              <w:bottom w:val="nil"/>
            </w:tcBorders>
            <w:shd w:val="clear" w:color="auto" w:fill="F2F2F2" w:themeFill="background1" w:themeFillShade="F2"/>
          </w:tcPr>
          <w:p w:rsidR="007712E3" w:rsidRPr="00FB714C" w:rsidRDefault="007712E3" w:rsidP="007712E3">
            <w:pPr>
              <w:rPr>
                <w:rFonts w:ascii="Times New Roman" w:hAnsi="Times New Roman" w:cs="Times New Roman"/>
                <w:bCs/>
                <w:sz w:val="20"/>
                <w:szCs w:val="20"/>
              </w:rPr>
            </w:pPr>
          </w:p>
        </w:tc>
        <w:tc>
          <w:tcPr>
            <w:tcW w:w="1141" w:type="dxa"/>
            <w:tcBorders>
              <w:top w:val="single" w:sz="4" w:space="0" w:color="auto"/>
              <w:bottom w:val="nil"/>
            </w:tcBorders>
          </w:tcPr>
          <w:p w:rsidR="007712E3" w:rsidRPr="00FB714C" w:rsidRDefault="007712E3" w:rsidP="007712E3">
            <w:pPr>
              <w:jc w:val="center"/>
              <w:rPr>
                <w:rFonts w:ascii="Times New Roman" w:hAnsi="Times New Roman" w:cs="Times New Roman"/>
                <w:bCs/>
                <w:sz w:val="20"/>
                <w:szCs w:val="20"/>
              </w:rPr>
            </w:pPr>
          </w:p>
        </w:tc>
        <w:tc>
          <w:tcPr>
            <w:tcW w:w="1268" w:type="dxa"/>
            <w:tcBorders>
              <w:top w:val="single" w:sz="4" w:space="0" w:color="auto"/>
              <w:bottom w:val="nil"/>
            </w:tcBorders>
          </w:tcPr>
          <w:p w:rsidR="007712E3" w:rsidRPr="00FB714C" w:rsidRDefault="007712E3" w:rsidP="007712E3">
            <w:pPr>
              <w:rPr>
                <w:rFonts w:ascii="Times New Roman" w:hAnsi="Times New Roman" w:cs="Times New Roman"/>
                <w:bCs/>
                <w:sz w:val="20"/>
                <w:szCs w:val="20"/>
              </w:rPr>
            </w:pPr>
          </w:p>
        </w:tc>
        <w:tc>
          <w:tcPr>
            <w:tcW w:w="1276" w:type="dxa"/>
            <w:gridSpan w:val="2"/>
            <w:tcBorders>
              <w:top w:val="single" w:sz="4" w:space="0" w:color="auto"/>
              <w:bottom w:val="nil"/>
            </w:tcBorders>
          </w:tcPr>
          <w:p w:rsidR="007712E3" w:rsidRPr="00FB714C" w:rsidRDefault="007712E3" w:rsidP="007712E3">
            <w:pPr>
              <w:rPr>
                <w:rFonts w:ascii="Times New Roman" w:hAnsi="Times New Roman" w:cs="Times New Roman"/>
                <w:bCs/>
                <w:sz w:val="20"/>
                <w:szCs w:val="20"/>
              </w:rPr>
            </w:pPr>
          </w:p>
        </w:tc>
      </w:tr>
    </w:tbl>
    <w:p w:rsidR="0006563D" w:rsidRPr="0006563D" w:rsidRDefault="00AD3BB2" w:rsidP="0006563D">
      <w:pPr>
        <w:spacing w:after="0" w:line="240" w:lineRule="auto"/>
        <w:contextualSpacing/>
        <w:jc w:val="both"/>
        <w:rPr>
          <w:rFonts w:ascii="Times New Roman" w:eastAsia="Calibri" w:hAnsi="Times New Roman" w:cs="Times New Roman"/>
          <w:color w:val="000000"/>
          <w:sz w:val="16"/>
          <w:szCs w:val="16"/>
          <w:lang w:val="ru-RU"/>
        </w:rPr>
      </w:pPr>
      <w:r w:rsidRPr="002362A8">
        <w:rPr>
          <w:rFonts w:ascii="Times New Roman" w:eastAsia="Calibri" w:hAnsi="Times New Roman" w:cs="Times New Roman"/>
          <w:color w:val="000000"/>
          <w:sz w:val="16"/>
          <w:szCs w:val="16"/>
          <w:lang w:val="ru-RU"/>
        </w:rPr>
        <w:t>* Целевите стойности са определени в одобрените от ЕК програмни документи за целия период на изпълнение на програмите</w:t>
      </w:r>
      <w:r w:rsidRPr="002362A8">
        <w:rPr>
          <w:rFonts w:ascii="Times New Roman" w:eastAsia="Calibri" w:hAnsi="Times New Roman" w:cs="Times New Roman"/>
          <w:color w:val="000000"/>
          <w:sz w:val="16"/>
          <w:szCs w:val="16"/>
        </w:rPr>
        <w:t>, като са актуализирани съгласно последното изменение на програмите с Република Турция и Република Сърбия</w:t>
      </w:r>
      <w:r w:rsidRPr="002362A8">
        <w:rPr>
          <w:rFonts w:ascii="Times New Roman" w:eastAsia="Calibri" w:hAnsi="Times New Roman" w:cs="Times New Roman"/>
          <w:color w:val="000000"/>
          <w:sz w:val="16"/>
          <w:szCs w:val="16"/>
          <w:lang w:val="ru-RU"/>
        </w:rPr>
        <w:t>.</w:t>
      </w:r>
    </w:p>
    <w:p w:rsidR="00A10F5E" w:rsidRDefault="0006563D" w:rsidP="00A10F5E">
      <w:pPr>
        <w:spacing w:after="0" w:line="240" w:lineRule="auto"/>
        <w:contextualSpacing/>
        <w:jc w:val="both"/>
        <w:rPr>
          <w:rFonts w:ascii="Times New Roman" w:eastAsia="Calibri" w:hAnsi="Times New Roman" w:cs="Times New Roman"/>
          <w:color w:val="000000"/>
          <w:sz w:val="16"/>
          <w:szCs w:val="16"/>
          <w:lang w:val="ru-RU"/>
        </w:rPr>
      </w:pPr>
      <w:r>
        <w:rPr>
          <w:rFonts w:ascii="Times New Roman" w:eastAsia="Calibri" w:hAnsi="Times New Roman" w:cs="Times New Roman"/>
          <w:color w:val="000000"/>
          <w:sz w:val="16"/>
          <w:szCs w:val="16"/>
          <w:lang w:val="ru-RU"/>
        </w:rPr>
        <w:t>*</w:t>
      </w:r>
      <w:r>
        <w:rPr>
          <w:rFonts w:ascii="Times New Roman" w:eastAsia="Calibri" w:hAnsi="Times New Roman" w:cs="Times New Roman"/>
          <w:color w:val="000000"/>
          <w:sz w:val="16"/>
          <w:szCs w:val="16"/>
          <w:lang w:val="en-US"/>
        </w:rPr>
        <w:t xml:space="preserve">* </w:t>
      </w:r>
      <w:r w:rsidRPr="0006563D">
        <w:rPr>
          <w:rFonts w:ascii="Times New Roman" w:eastAsia="Calibri" w:hAnsi="Times New Roman" w:cs="Times New Roman"/>
          <w:color w:val="000000"/>
          <w:sz w:val="16"/>
          <w:szCs w:val="16"/>
          <w:lang w:val="ru-RU"/>
        </w:rPr>
        <w:t xml:space="preserve">Намалението на прогнозните целеви стойности на индикатора „Нарастване потенциала на АТЕ за ефективно и ефикасно планиране, управление и използване на ресурсите за устойчиво местно развитие“ се дължи на изключително негативното отражение на пандемията от COVID-19 върху бюджетите на общините (като административно-териториални единици - АТЕ) към началото на 2021 г., като загубите от намалените собствени приходи от местни данъци и такси се допълват от извънредни бюджетни разходи за непосредствени мерки за опазване здравето на населението – разкриване на легла за пациенти с COVID-19 в общински болници; доставка на храни и медикаменти по домовете на всички уязвими групи; доставка на топъл обяд и хранителни пакети; икономически мерки в подкрепа на местния бизнес (освобождаване </w:t>
      </w:r>
      <w:r w:rsidRPr="0006563D">
        <w:rPr>
          <w:rFonts w:ascii="Times New Roman" w:eastAsia="Calibri" w:hAnsi="Times New Roman" w:cs="Times New Roman"/>
          <w:color w:val="000000"/>
          <w:sz w:val="16"/>
          <w:szCs w:val="16"/>
          <w:lang w:val="ru-RU"/>
        </w:rPr>
        <w:lastRenderedPageBreak/>
        <w:t>от общински такси и наеми) и много други. Очаква се периодът на социално-икономическо възстановяване на общините в условията на все още продължаваща пандемична криза, както и след нейното затихване да продължи до 2-3 години, което ще окаже отрицателно влияние върху показателите за финансова самостоятелност и инвестиционна активност на общините. Това води до съответното прогнозно намаление на стойността на използвания индикатор с около 0,5 до 0,3 процентни пункта спрямо предкризисните нива.</w:t>
      </w:r>
    </w:p>
    <w:p w:rsidR="00757C4B" w:rsidRPr="002362A8" w:rsidRDefault="00757C4B" w:rsidP="00A10F5E">
      <w:pPr>
        <w:spacing w:after="0" w:line="240" w:lineRule="auto"/>
        <w:contextualSpacing/>
        <w:jc w:val="both"/>
        <w:rPr>
          <w:rFonts w:ascii="Times New Roman" w:eastAsia="Calibri" w:hAnsi="Times New Roman" w:cs="Times New Roman"/>
          <w:color w:val="000000"/>
          <w:sz w:val="16"/>
          <w:szCs w:val="16"/>
          <w:lang w:val="ru-RU"/>
        </w:rPr>
      </w:pPr>
    </w:p>
    <w:p w:rsidR="003C1CBE" w:rsidRDefault="009A0A4F" w:rsidP="00A10F5E">
      <w:pPr>
        <w:pStyle w:val="ListParagraph"/>
        <w:numPr>
          <w:ilvl w:val="0"/>
          <w:numId w:val="2"/>
        </w:numPr>
        <w:tabs>
          <w:tab w:val="left" w:pos="709"/>
        </w:tabs>
        <w:spacing w:after="0" w:line="240" w:lineRule="auto"/>
        <w:ind w:hanging="720"/>
        <w:jc w:val="both"/>
        <w:rPr>
          <w:rFonts w:ascii="Times New Roman" w:hAnsi="Times New Roman" w:cs="Times New Roman"/>
          <w:b/>
          <w:i/>
          <w:color w:val="0000CC"/>
        </w:rPr>
      </w:pPr>
      <w:r w:rsidRPr="0025354B">
        <w:rPr>
          <w:rFonts w:ascii="Times New Roman" w:hAnsi="Times New Roman" w:cs="Times New Roman"/>
          <w:b/>
          <w:i/>
          <w:color w:val="0000CC"/>
        </w:rPr>
        <w:t>К</w:t>
      </w:r>
      <w:r w:rsidR="004718D8" w:rsidRPr="0025354B">
        <w:rPr>
          <w:rFonts w:ascii="Times New Roman" w:hAnsi="Times New Roman" w:cs="Times New Roman"/>
          <w:b/>
          <w:i/>
          <w:color w:val="0000CC"/>
        </w:rPr>
        <w:t xml:space="preserve">ратко описание и мотиви за </w:t>
      </w:r>
      <w:r w:rsidR="000A695A" w:rsidRPr="0025354B">
        <w:rPr>
          <w:rFonts w:ascii="Times New Roman" w:hAnsi="Times New Roman" w:cs="Times New Roman"/>
          <w:b/>
          <w:i/>
          <w:color w:val="0000CC"/>
        </w:rPr>
        <w:t>избора</w:t>
      </w:r>
      <w:r w:rsidR="004718D8" w:rsidRPr="0025354B">
        <w:rPr>
          <w:rFonts w:ascii="Times New Roman" w:hAnsi="Times New Roman" w:cs="Times New Roman"/>
          <w:b/>
          <w:i/>
          <w:color w:val="0000CC"/>
        </w:rPr>
        <w:t xml:space="preserve"> </w:t>
      </w:r>
      <w:r w:rsidRPr="0025354B">
        <w:rPr>
          <w:rFonts w:ascii="Times New Roman" w:hAnsi="Times New Roman" w:cs="Times New Roman"/>
          <w:b/>
          <w:i/>
          <w:color w:val="0000CC"/>
        </w:rPr>
        <w:t>на посочените индикатори.</w:t>
      </w:r>
    </w:p>
    <w:p w:rsidR="00CB1305" w:rsidRPr="00CB1305" w:rsidRDefault="00CB1305" w:rsidP="00A10F5E">
      <w:pPr>
        <w:spacing w:after="0" w:line="240" w:lineRule="auto"/>
        <w:ind w:firstLine="567"/>
        <w:jc w:val="both"/>
        <w:rPr>
          <w:rFonts w:ascii="Times New Roman" w:eastAsia="Calibri" w:hAnsi="Times New Roman" w:cs="Times New Roman"/>
        </w:rPr>
      </w:pPr>
      <w:r w:rsidRPr="00CB1305">
        <w:rPr>
          <w:rFonts w:ascii="Times New Roman" w:eastAsia="Calibri" w:hAnsi="Times New Roman" w:cs="Times New Roman"/>
        </w:rPr>
        <w:t xml:space="preserve">МРРБ е определено за водещо ведомство по разработването и изпълнението на  Приоритет 9 „Местно развитие“ от </w:t>
      </w:r>
      <w:r w:rsidRPr="00CB1305">
        <w:rPr>
          <w:rFonts w:ascii="Times New Roman" w:eastAsia="Times New Roman" w:hAnsi="Times New Roman" w:cs="Times New Roman"/>
          <w:lang w:eastAsia="bg-BG"/>
        </w:rPr>
        <w:t xml:space="preserve"> </w:t>
      </w:r>
      <w:r w:rsidRPr="00CB1305">
        <w:rPr>
          <w:rFonts w:ascii="Times New Roman" w:eastAsia="Calibri" w:hAnsi="Times New Roman" w:cs="Times New Roman"/>
        </w:rPr>
        <w:t>Националната програма за развитие, съгласно приложение №</w:t>
      </w:r>
      <w:r w:rsidR="00AC76A7">
        <w:rPr>
          <w:rFonts w:ascii="Times New Roman" w:eastAsia="Calibri" w:hAnsi="Times New Roman" w:cs="Times New Roman"/>
        </w:rPr>
        <w:t xml:space="preserve"> 2 на </w:t>
      </w:r>
      <w:r w:rsidRPr="00CB1305">
        <w:rPr>
          <w:rFonts w:ascii="Times New Roman" w:eastAsia="Calibri" w:hAnsi="Times New Roman" w:cs="Times New Roman"/>
        </w:rPr>
        <w:t>Решение № 33 на Министерския съвет от 20.01.2020 г. Ключовите индикатори и целеви стойности, които се изпълняват в областта на политиката отговарят на целта на приоритета, а именно оползотворяването на идентифицирания местен потенциал за развитие, както и адресиране на местните проблеми и предизвикателства и не е необходимо да бъдат актуализирани.</w:t>
      </w:r>
    </w:p>
    <w:p w:rsidR="00CB1305" w:rsidRDefault="00A14899" w:rsidP="00A10F5E">
      <w:pPr>
        <w:pStyle w:val="ListParagraph"/>
        <w:numPr>
          <w:ilvl w:val="0"/>
          <w:numId w:val="2"/>
        </w:numPr>
        <w:spacing w:after="0" w:line="240" w:lineRule="auto"/>
        <w:ind w:left="0" w:firstLine="567"/>
        <w:jc w:val="both"/>
        <w:rPr>
          <w:rFonts w:ascii="Times New Roman" w:eastAsia="Calibri" w:hAnsi="Times New Roman" w:cs="Times New Roman"/>
        </w:rPr>
      </w:pPr>
      <w:r>
        <w:rPr>
          <w:rFonts w:ascii="Times New Roman" w:eastAsia="Calibri" w:hAnsi="Times New Roman" w:cs="Times New Roman"/>
          <w:b/>
          <w:i/>
        </w:rPr>
        <w:t>Индикатор</w:t>
      </w:r>
      <w:r w:rsidR="00CB1305" w:rsidRPr="009057FC">
        <w:rPr>
          <w:rFonts w:ascii="Times New Roman" w:eastAsia="Calibri" w:hAnsi="Times New Roman" w:cs="Times New Roman"/>
          <w:b/>
          <w:i/>
        </w:rPr>
        <w:t xml:space="preserve"> </w:t>
      </w:r>
      <w:r w:rsidR="007222CD" w:rsidRPr="009057FC">
        <w:rPr>
          <w:rFonts w:ascii="Times New Roman" w:eastAsia="Calibri" w:hAnsi="Times New Roman" w:cs="Times New Roman"/>
          <w:b/>
          <w:i/>
        </w:rPr>
        <w:t>„</w:t>
      </w:r>
      <w:r w:rsidR="007222CD" w:rsidRPr="009057FC">
        <w:rPr>
          <w:rFonts w:ascii="Times New Roman" w:eastAsia="Times New Roman" w:hAnsi="Times New Roman" w:cs="Times New Roman"/>
          <w:b/>
          <w:i/>
          <w:lang w:eastAsia="bg-BG"/>
        </w:rPr>
        <w:t>Изпълнение на Пътна карта за нови подходи в регионалната политика</w:t>
      </w:r>
      <w:r w:rsidR="007222CD" w:rsidRPr="009057FC">
        <w:rPr>
          <w:rFonts w:ascii="Times New Roman" w:eastAsia="Times New Roman" w:hAnsi="Times New Roman" w:cs="Times New Roman"/>
          <w:b/>
          <w:i/>
          <w:lang w:val="en-US" w:eastAsia="bg-BG"/>
        </w:rPr>
        <w:t xml:space="preserve"> </w:t>
      </w:r>
      <w:r w:rsidR="007222CD" w:rsidRPr="009057FC">
        <w:rPr>
          <w:rFonts w:ascii="Times New Roman" w:eastAsia="Times New Roman" w:hAnsi="Times New Roman" w:cs="Times New Roman"/>
          <w:b/>
          <w:i/>
          <w:lang w:eastAsia="bg-BG"/>
        </w:rPr>
        <w:t>с цел създаване на условия за балансирано териториално развитие“</w:t>
      </w:r>
      <w:r w:rsidR="007222CD" w:rsidRPr="009057FC">
        <w:rPr>
          <w:rFonts w:ascii="Times New Roman" w:eastAsia="Calibri" w:hAnsi="Times New Roman" w:cs="Times New Roman"/>
        </w:rPr>
        <w:t xml:space="preserve"> </w:t>
      </w:r>
      <w:r w:rsidR="00CB1305" w:rsidRPr="009057FC">
        <w:rPr>
          <w:rFonts w:ascii="Times New Roman" w:eastAsia="Calibri" w:hAnsi="Times New Roman" w:cs="Times New Roman"/>
        </w:rPr>
        <w:t>е свързан с работата на ГД СППРР в областта на стратегическото планиране на регионалното развитие и обхваща всички дейности, които дирекцията извършва в тази сфера.</w:t>
      </w:r>
      <w:r w:rsidR="00CB1305" w:rsidRPr="009057FC">
        <w:rPr>
          <w:rFonts w:ascii="Times New Roman" w:eastAsia="Calibri" w:hAnsi="Times New Roman" w:cs="Times New Roman"/>
          <w:lang w:val="en-US"/>
        </w:rPr>
        <w:t xml:space="preserve"> </w:t>
      </w:r>
      <w:r w:rsidR="00CB1305" w:rsidRPr="009057FC">
        <w:rPr>
          <w:rFonts w:ascii="Times New Roman" w:eastAsia="Calibri" w:hAnsi="Times New Roman" w:cs="Times New Roman"/>
        </w:rPr>
        <w:t>Целта е към 2022 г. да се достигне 100% изпълнение. Предвижда се през 2022 г. да бъде разработена нова Пътна карта за реализиране на регионалната политика</w:t>
      </w:r>
      <w:r w:rsidR="00CB1305" w:rsidRPr="009057FC">
        <w:rPr>
          <w:rFonts w:ascii="Times New Roman" w:eastAsia="Calibri" w:hAnsi="Times New Roman" w:cs="Times New Roman"/>
          <w:lang w:val="en-US"/>
        </w:rPr>
        <w:t xml:space="preserve"> </w:t>
      </w:r>
      <w:r w:rsidR="00CB1305" w:rsidRPr="009057FC">
        <w:rPr>
          <w:rFonts w:ascii="Times New Roman" w:eastAsia="Calibri" w:hAnsi="Times New Roman" w:cs="Times New Roman"/>
        </w:rPr>
        <w:t>с цел създаване на условия за балансирано териториално развитие, чиет</w:t>
      </w:r>
      <w:r w:rsidR="00E62EF0">
        <w:rPr>
          <w:rFonts w:ascii="Times New Roman" w:eastAsia="Calibri" w:hAnsi="Times New Roman" w:cs="Times New Roman"/>
        </w:rPr>
        <w:t xml:space="preserve">о  изпълнение да стартира през </w:t>
      </w:r>
      <w:r w:rsidR="00CB1305" w:rsidRPr="009057FC">
        <w:rPr>
          <w:rFonts w:ascii="Times New Roman" w:eastAsia="Calibri" w:hAnsi="Times New Roman" w:cs="Times New Roman"/>
        </w:rPr>
        <w:t>2023 г.</w:t>
      </w:r>
      <w:r w:rsidR="00CB1305" w:rsidRPr="009057FC">
        <w:rPr>
          <w:rFonts w:ascii="Times New Roman" w:eastAsia="Calibri" w:hAnsi="Times New Roman" w:cs="Times New Roman"/>
          <w:lang w:val="en-US"/>
        </w:rPr>
        <w:t xml:space="preserve"> </w:t>
      </w:r>
      <w:r w:rsidR="00CB1305" w:rsidRPr="009057FC">
        <w:rPr>
          <w:rFonts w:ascii="Times New Roman" w:eastAsia="Calibri" w:hAnsi="Times New Roman" w:cs="Times New Roman"/>
        </w:rPr>
        <w:t>и до края на 2024 г. да бъдат изпълнени 30% от дейностите, които ще бъдат заложени в нея.</w:t>
      </w:r>
      <w:r w:rsidR="00FB568B" w:rsidRPr="009057FC">
        <w:rPr>
          <w:rFonts w:ascii="Times New Roman" w:eastAsia="Calibri" w:hAnsi="Times New Roman" w:cs="Times New Roman"/>
        </w:rPr>
        <w:t xml:space="preserve"> Индикаторът измерва и е насочен към изпълнението на </w:t>
      </w:r>
      <w:r w:rsidR="00271F21">
        <w:rPr>
          <w:rFonts w:ascii="Times New Roman" w:eastAsia="Calibri" w:hAnsi="Times New Roman" w:cs="Times New Roman"/>
        </w:rPr>
        <w:t xml:space="preserve">всички </w:t>
      </w:r>
      <w:r w:rsidR="00FB568B" w:rsidRPr="009057FC">
        <w:rPr>
          <w:rFonts w:ascii="Times New Roman" w:eastAsia="Calibri" w:hAnsi="Times New Roman" w:cs="Times New Roman"/>
        </w:rPr>
        <w:t>заложени стратегически цели по политиката.</w:t>
      </w:r>
    </w:p>
    <w:p w:rsidR="00CB1305" w:rsidRPr="009057FC" w:rsidRDefault="00A14899" w:rsidP="00A10F5E">
      <w:pPr>
        <w:pStyle w:val="ListParagraph"/>
        <w:numPr>
          <w:ilvl w:val="0"/>
          <w:numId w:val="2"/>
        </w:numPr>
        <w:spacing w:after="0" w:line="240" w:lineRule="auto"/>
        <w:ind w:left="0" w:firstLine="567"/>
        <w:jc w:val="both"/>
        <w:rPr>
          <w:rFonts w:ascii="Times New Roman" w:eastAsia="Calibri" w:hAnsi="Times New Roman" w:cs="Times New Roman"/>
        </w:rPr>
      </w:pPr>
      <w:r>
        <w:rPr>
          <w:rFonts w:ascii="Times New Roman" w:eastAsia="Calibri" w:hAnsi="Times New Roman" w:cs="Times New Roman"/>
          <w:b/>
          <w:i/>
        </w:rPr>
        <w:t>Индикатор</w:t>
      </w:r>
      <w:r w:rsidR="00CB1305" w:rsidRPr="009057FC">
        <w:rPr>
          <w:rFonts w:ascii="Times New Roman" w:eastAsia="Calibri" w:hAnsi="Times New Roman" w:cs="Times New Roman"/>
          <w:b/>
          <w:i/>
        </w:rPr>
        <w:t xml:space="preserve"> </w:t>
      </w:r>
      <w:r w:rsidR="007222CD" w:rsidRPr="009057FC">
        <w:rPr>
          <w:rFonts w:ascii="Times New Roman" w:eastAsia="Calibri" w:hAnsi="Times New Roman" w:cs="Times New Roman"/>
          <w:b/>
          <w:i/>
        </w:rPr>
        <w:t>„</w:t>
      </w:r>
      <w:r w:rsidR="007222CD" w:rsidRPr="009057FC">
        <w:rPr>
          <w:rFonts w:ascii="Times New Roman" w:eastAsia="Times New Roman" w:hAnsi="Times New Roman" w:cs="Times New Roman"/>
          <w:b/>
          <w:i/>
          <w:lang w:eastAsia="bg-BG"/>
        </w:rPr>
        <w:t>Намаляване на дела на мигриралото население“</w:t>
      </w:r>
      <w:r w:rsidR="007222CD" w:rsidRPr="009057FC">
        <w:rPr>
          <w:rFonts w:ascii="Times New Roman" w:eastAsia="Times New Roman" w:hAnsi="Times New Roman" w:cs="Times New Roman"/>
          <w:sz w:val="20"/>
          <w:szCs w:val="20"/>
          <w:lang w:eastAsia="bg-BG"/>
        </w:rPr>
        <w:t xml:space="preserve"> </w:t>
      </w:r>
      <w:r w:rsidR="00CB1305" w:rsidRPr="009057FC">
        <w:rPr>
          <w:rFonts w:ascii="Times New Roman" w:eastAsia="Calibri" w:hAnsi="Times New Roman" w:cs="Times New Roman"/>
        </w:rPr>
        <w:t>е свързан с изпълнението на ОПРР 2014-2020 г. Една от основните цели на ОПРР 2014-2020 г. е именно намаляване на вътрешната миграция на населението в България. Целта е делът на мигриралото население между областите в страната и по-конкретно към София и останалите големи градове да намалява, защото чрез проектите по ОПРР 2014-2020 се създават условия за задържане на населението в градовете/областите. Същевременно формулировката на показателя (дял на мигриралото население – вътрешна миграция от общия брой на населението, а не абсолютната стойност на мигриралото население) преодолява зависимостта между намалението на миграцията и общото намаляване на населението в България. Тъй като върху намалението на вътрешната миграция на населението влияят много фактори, оценката на въздействието на ОПРР 2014-2020 г., предвидена да се проведе през периода 2021-2022 г. ще оцени приноса на програмата за изменението на този индикатор. Също така, през 2021 г. ще се извърши преброяване на населението в България, което ще даде по-изчерпателна представа за процесите на миграция в България. Текущите данни за този индикатор са публични и официални от интернет-страницата на НСИ. Към 31.12.2019 г. общия брой на населението на страната е 6 951 482 души, броя на мигриралото население вътре в страната е 168 120 души (изселени), а делът на мигриралото население (вътрешна миграция) е 2,04%.</w:t>
      </w:r>
      <w:r w:rsidR="00FB568B" w:rsidRPr="009057FC">
        <w:rPr>
          <w:rFonts w:ascii="Times New Roman" w:eastAsia="Calibri" w:hAnsi="Times New Roman" w:cs="Times New Roman"/>
        </w:rPr>
        <w:t xml:space="preserve"> Индикаторът измерва и е насочен към изпълнението на </w:t>
      </w:r>
      <w:r w:rsidR="00271F21">
        <w:rPr>
          <w:rFonts w:ascii="Times New Roman" w:eastAsia="Calibri" w:hAnsi="Times New Roman" w:cs="Times New Roman"/>
        </w:rPr>
        <w:t>всички заложени</w:t>
      </w:r>
      <w:r w:rsidR="00FB568B" w:rsidRPr="009057FC">
        <w:rPr>
          <w:rFonts w:ascii="Times New Roman" w:eastAsia="Calibri" w:hAnsi="Times New Roman" w:cs="Times New Roman"/>
        </w:rPr>
        <w:t xml:space="preserve"> стратегически цели по политиката.</w:t>
      </w:r>
    </w:p>
    <w:p w:rsidR="00FB568B" w:rsidRDefault="00A14899" w:rsidP="00ED6FBD">
      <w:pPr>
        <w:numPr>
          <w:ilvl w:val="0"/>
          <w:numId w:val="33"/>
        </w:numPr>
        <w:spacing w:after="0" w:line="240" w:lineRule="auto"/>
        <w:ind w:left="0" w:firstLine="567"/>
        <w:jc w:val="both"/>
        <w:rPr>
          <w:rFonts w:ascii="Times New Roman" w:hAnsi="Times New Roman" w:cs="Times New Roman"/>
        </w:rPr>
      </w:pPr>
      <w:r>
        <w:rPr>
          <w:rFonts w:ascii="Times New Roman" w:hAnsi="Times New Roman" w:cs="Times New Roman"/>
          <w:b/>
          <w:i/>
        </w:rPr>
        <w:t>Индикатор</w:t>
      </w:r>
      <w:r w:rsidR="007222CD" w:rsidRPr="00FB568B">
        <w:rPr>
          <w:rFonts w:ascii="Times New Roman" w:hAnsi="Times New Roman" w:cs="Times New Roman"/>
          <w:b/>
          <w:i/>
        </w:rPr>
        <w:t xml:space="preserve"> „Брой реконструирани/възстановени културни и исторически обекти“</w:t>
      </w:r>
      <w:r w:rsidR="00FB568B" w:rsidRPr="00FB568B">
        <w:rPr>
          <w:rFonts w:ascii="Times New Roman" w:hAnsi="Times New Roman" w:cs="Times New Roman"/>
          <w:b/>
          <w:i/>
        </w:rPr>
        <w:t>, „Население, възползващо се от мерки за защита от наводнения или горски пожари“, „Общ брой младежи, включени в схеми за младежко предприемачество и инициативи“ и „Брой участници в инициативи за обучение и квалификация“</w:t>
      </w:r>
      <w:r w:rsidR="00FB568B">
        <w:rPr>
          <w:rFonts w:ascii="Times New Roman" w:hAnsi="Times New Roman" w:cs="Times New Roman"/>
          <w:b/>
          <w:i/>
        </w:rPr>
        <w:t xml:space="preserve"> </w:t>
      </w:r>
      <w:r w:rsidR="00FB568B">
        <w:rPr>
          <w:rFonts w:ascii="Times New Roman" w:hAnsi="Times New Roman" w:cs="Times New Roman"/>
        </w:rPr>
        <w:t>измерват стратегическа цел „</w:t>
      </w:r>
      <w:r w:rsidR="00FB568B" w:rsidRPr="00211B4A">
        <w:rPr>
          <w:rFonts w:ascii="Times New Roman" w:hAnsi="Times New Roman" w:cs="Times New Roman"/>
        </w:rPr>
        <w:t>Развитие на транснационално и междурегионално сътрудничество в следните приоритети: иновации, околна среда, туризъм, достъпно</w:t>
      </w:r>
      <w:r w:rsidR="00FB568B">
        <w:rPr>
          <w:rFonts w:ascii="Times New Roman" w:hAnsi="Times New Roman" w:cs="Times New Roman"/>
        </w:rPr>
        <w:t>ст и устойчиво градско развитие“.</w:t>
      </w:r>
    </w:p>
    <w:p w:rsidR="0006563D" w:rsidRPr="00D6230D" w:rsidRDefault="00A14899" w:rsidP="0006563D">
      <w:pPr>
        <w:pStyle w:val="ListParagraph"/>
        <w:numPr>
          <w:ilvl w:val="0"/>
          <w:numId w:val="33"/>
        </w:numPr>
        <w:tabs>
          <w:tab w:val="left" w:pos="709"/>
        </w:tabs>
        <w:spacing w:after="0" w:line="240" w:lineRule="auto"/>
        <w:ind w:left="0" w:firstLine="567"/>
        <w:jc w:val="both"/>
        <w:rPr>
          <w:rFonts w:ascii="Times New Roman" w:eastAsia="Calibri" w:hAnsi="Times New Roman" w:cs="Times New Roman"/>
        </w:rPr>
      </w:pPr>
      <w:r>
        <w:rPr>
          <w:rFonts w:ascii="Times New Roman" w:eastAsia="Calibri" w:hAnsi="Times New Roman" w:cs="Times New Roman"/>
          <w:b/>
          <w:i/>
        </w:rPr>
        <w:t>Индикатор</w:t>
      </w:r>
      <w:r w:rsidR="0006563D" w:rsidRPr="00D6230D">
        <w:rPr>
          <w:rFonts w:ascii="Times New Roman" w:eastAsia="Calibri" w:hAnsi="Times New Roman" w:cs="Times New Roman"/>
          <w:b/>
          <w:i/>
        </w:rPr>
        <w:t xml:space="preserve"> „Нарастване потенциала на АТЕ за ефективно и ефикасно планиране, управление и използване на ресурсите за устойчиво местно развитие“</w:t>
      </w:r>
      <w:r w:rsidR="0006563D">
        <w:rPr>
          <w:rFonts w:ascii="Times New Roman" w:eastAsia="Calibri" w:hAnsi="Times New Roman" w:cs="Times New Roman"/>
        </w:rPr>
        <w:t xml:space="preserve"> и </w:t>
      </w:r>
      <w:r w:rsidR="0006563D" w:rsidRPr="00D6230D">
        <w:rPr>
          <w:rFonts w:ascii="Times New Roman" w:eastAsia="Calibri" w:hAnsi="Times New Roman" w:cs="Times New Roman"/>
          <w:b/>
          <w:i/>
        </w:rPr>
        <w:t>„Обезпечаване на територията на страната с общи устройствени планове“</w:t>
      </w:r>
      <w:r w:rsidR="0006563D">
        <w:rPr>
          <w:rFonts w:ascii="Times New Roman" w:eastAsia="Calibri" w:hAnsi="Times New Roman" w:cs="Times New Roman"/>
        </w:rPr>
        <w:t xml:space="preserve"> измерват стратегическа цел „</w:t>
      </w:r>
      <w:r w:rsidR="0006563D" w:rsidRPr="00D6230D">
        <w:rPr>
          <w:rFonts w:ascii="Times New Roman" w:eastAsia="Calibri" w:hAnsi="Times New Roman" w:cs="Times New Roman"/>
        </w:rPr>
        <w:t>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опазване на околната среда и ку</w:t>
      </w:r>
      <w:r w:rsidR="0006563D">
        <w:rPr>
          <w:rFonts w:ascii="Times New Roman" w:eastAsia="Calibri" w:hAnsi="Times New Roman" w:cs="Times New Roman"/>
        </w:rPr>
        <w:t>лтурно-историческото наследство“</w:t>
      </w:r>
      <w:r w:rsidR="00757C4B">
        <w:rPr>
          <w:rFonts w:ascii="Times New Roman" w:eastAsia="Calibri" w:hAnsi="Times New Roman" w:cs="Times New Roman"/>
        </w:rPr>
        <w:t>.</w:t>
      </w:r>
    </w:p>
    <w:p w:rsidR="008E400C" w:rsidRDefault="008E400C" w:rsidP="00A10F5E">
      <w:pPr>
        <w:spacing w:after="0" w:line="240" w:lineRule="auto"/>
        <w:ind w:firstLine="567"/>
        <w:jc w:val="both"/>
        <w:rPr>
          <w:rFonts w:ascii="Times New Roman" w:eastAsia="Calibri" w:hAnsi="Times New Roman" w:cs="Times New Roman"/>
          <w:b/>
          <w:i/>
          <w:color w:val="0000CC"/>
        </w:rPr>
      </w:pPr>
    </w:p>
    <w:p w:rsidR="00A10F5E" w:rsidRDefault="006B2804" w:rsidP="00A10F5E">
      <w:pPr>
        <w:spacing w:after="0" w:line="240" w:lineRule="auto"/>
        <w:ind w:firstLine="567"/>
        <w:jc w:val="both"/>
        <w:rPr>
          <w:rFonts w:ascii="Times New Roman" w:eastAsia="Calibri" w:hAnsi="Times New Roman" w:cs="Times New Roman"/>
          <w:b/>
          <w:i/>
          <w:color w:val="0000CC"/>
        </w:rPr>
      </w:pPr>
      <w:r w:rsidRPr="0025354B">
        <w:rPr>
          <w:rFonts w:ascii="Times New Roman" w:eastAsia="Calibri" w:hAnsi="Times New Roman" w:cs="Times New Roman"/>
          <w:b/>
          <w:i/>
          <w:color w:val="0000CC"/>
        </w:rPr>
        <w:t xml:space="preserve">2100.02.00 </w:t>
      </w:r>
      <w:r w:rsidR="00740960" w:rsidRPr="0025354B">
        <w:rPr>
          <w:rFonts w:ascii="Times New Roman" w:eastAsia="Calibri" w:hAnsi="Times New Roman" w:cs="Times New Roman"/>
          <w:b/>
          <w:i/>
          <w:color w:val="0000CC"/>
        </w:rPr>
        <w:t>„</w:t>
      </w:r>
      <w:r w:rsidRPr="0025354B">
        <w:rPr>
          <w:rFonts w:ascii="Times New Roman" w:eastAsia="Calibri" w:hAnsi="Times New Roman" w:cs="Times New Roman"/>
          <w:b/>
          <w:i/>
          <w:color w:val="0000CC"/>
        </w:rPr>
        <w:t xml:space="preserve">ПОЛИТИКА ЗА </w:t>
      </w:r>
      <w:r w:rsidR="00567CD4">
        <w:rPr>
          <w:rFonts w:ascii="Times New Roman" w:eastAsia="Calibri" w:hAnsi="Times New Roman" w:cs="Times New Roman"/>
          <w:b/>
          <w:i/>
          <w:color w:val="0000CC"/>
        </w:rPr>
        <w:t xml:space="preserve">ПОДОБРЯВАНЕ НА ИНВЕСТИЦИОННИЯ ПРОЦЕС, </w:t>
      </w:r>
      <w:r w:rsidRPr="0025354B">
        <w:rPr>
          <w:rFonts w:ascii="Times New Roman" w:eastAsia="Calibri" w:hAnsi="Times New Roman" w:cs="Times New Roman"/>
          <w:b/>
          <w:i/>
          <w:color w:val="0000CC"/>
        </w:rPr>
        <w:t>ПОДДЪРЖАНЕ,</w:t>
      </w:r>
      <w:r w:rsidRPr="0025354B">
        <w:rPr>
          <w:rFonts w:ascii="Times New Roman" w:eastAsia="Calibri" w:hAnsi="Times New Roman" w:cs="Times New Roman"/>
          <w:b/>
          <w:i/>
          <w:color w:val="0000CC"/>
          <w:lang w:val="en-US"/>
        </w:rPr>
        <w:t xml:space="preserve"> </w:t>
      </w:r>
      <w:r w:rsidRPr="0025354B">
        <w:rPr>
          <w:rFonts w:ascii="Times New Roman" w:eastAsia="Calibri" w:hAnsi="Times New Roman" w:cs="Times New Roman"/>
          <w:b/>
          <w:i/>
          <w:color w:val="0000CC"/>
        </w:rPr>
        <w:t>МОДЕРНИЗАЦИЯ И ИЗГРАЖДАНЕ НА ТЕХНИЧЕСКАТА ИНФРАСТРУКТУРА</w:t>
      </w:r>
      <w:r w:rsidR="00567CD4">
        <w:rPr>
          <w:rFonts w:ascii="Times New Roman" w:eastAsia="Calibri" w:hAnsi="Times New Roman" w:cs="Times New Roman"/>
          <w:b/>
          <w:i/>
          <w:color w:val="0000CC"/>
        </w:rPr>
        <w:t>“</w:t>
      </w:r>
    </w:p>
    <w:p w:rsidR="00567CD4" w:rsidRPr="0025354B" w:rsidRDefault="00567CD4" w:rsidP="00A10F5E">
      <w:pPr>
        <w:spacing w:after="0" w:line="240" w:lineRule="auto"/>
        <w:ind w:firstLine="567"/>
        <w:jc w:val="both"/>
        <w:rPr>
          <w:rFonts w:ascii="Times New Roman" w:eastAsia="Calibri" w:hAnsi="Times New Roman" w:cs="Times New Roman"/>
          <w:b/>
          <w:i/>
          <w:color w:val="0000CC"/>
        </w:rPr>
      </w:pPr>
    </w:p>
    <w:p w:rsidR="006B2804" w:rsidRPr="0025354B" w:rsidRDefault="006B2804" w:rsidP="00A10F5E">
      <w:pPr>
        <w:pStyle w:val="ListParagraph"/>
        <w:numPr>
          <w:ilvl w:val="0"/>
          <w:numId w:val="1"/>
        </w:numPr>
        <w:spacing w:after="0" w:line="240" w:lineRule="auto"/>
        <w:ind w:firstLine="65"/>
        <w:jc w:val="both"/>
        <w:rPr>
          <w:rFonts w:ascii="Times New Roman" w:hAnsi="Times New Roman" w:cs="Times New Roman"/>
          <w:b/>
          <w:i/>
          <w:color w:val="0000CC"/>
        </w:rPr>
      </w:pPr>
      <w:r w:rsidRPr="0025354B">
        <w:rPr>
          <w:rFonts w:ascii="Times New Roman" w:hAnsi="Times New Roman" w:cs="Times New Roman"/>
          <w:b/>
          <w:i/>
          <w:color w:val="0000CC"/>
        </w:rPr>
        <w:t>Кратко описание на обхвата на областта на политиката, за която ПРБ отговаря</w:t>
      </w:r>
    </w:p>
    <w:p w:rsidR="00ED46CF" w:rsidRDefault="00ED46CF" w:rsidP="00A10F5E">
      <w:pPr>
        <w:pStyle w:val="ListParagraph"/>
        <w:tabs>
          <w:tab w:val="left" w:pos="851"/>
        </w:tabs>
        <w:spacing w:after="0" w:line="240" w:lineRule="auto"/>
        <w:ind w:left="0" w:firstLine="567"/>
        <w:jc w:val="both"/>
        <w:rPr>
          <w:rFonts w:ascii="Times New Roman" w:hAnsi="Times New Roman" w:cs="Times New Roman"/>
          <w:color w:val="000000"/>
          <w:lang w:val="en-US"/>
        </w:rPr>
      </w:pPr>
    </w:p>
    <w:p w:rsidR="00ED46CF" w:rsidRPr="00ED46CF" w:rsidRDefault="00ED46CF" w:rsidP="00ED46CF">
      <w:pPr>
        <w:pStyle w:val="ListParagraph"/>
        <w:tabs>
          <w:tab w:val="left" w:pos="851"/>
        </w:tabs>
        <w:spacing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Визията за развитието на изпълняваната от АПИ политика е тясно обвързана с водещите приоритети, посочени в регламент (ЕС) №1315/2013 на Европейския парламент и на съвета на от 11 декември 2013 година, относно насоките на Съюза за развитието на трансевропейската пътна мрежа и за отмяна на Решение № 661/2010/ЕС, последно обновен с Делегиран регламент (ЕС) 2019/254 на Комисията от 9 Ноември 2019 г., са описани и зададени общите срокове и критерии за развитие на основната и широкообхватна (разширената) трансевропейска транспортна мрежа.</w:t>
      </w:r>
    </w:p>
    <w:p w:rsidR="00ED46CF" w:rsidRPr="00ED46CF" w:rsidRDefault="00ED46CF" w:rsidP="00ED46CF">
      <w:pPr>
        <w:pStyle w:val="ListParagraph"/>
        <w:tabs>
          <w:tab w:val="left" w:pos="851"/>
        </w:tabs>
        <w:spacing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 xml:space="preserve">Изпълняваната от АПИ политика, описана в Споразумение за съвместно управление на Република България в период 2021 г. – 2025 г., е разработена и хармонизирана съгласно Приложение № 4: Транспорт и Приложение № 12: Регионално развитие, като ще започне изпълнението по конкретните мерки и основни приоритети.  </w:t>
      </w:r>
    </w:p>
    <w:p w:rsidR="00ED46CF" w:rsidRPr="00ED46CF" w:rsidRDefault="00ED46CF" w:rsidP="00ED46CF">
      <w:pPr>
        <w:pStyle w:val="ListParagraph"/>
        <w:tabs>
          <w:tab w:val="left" w:pos="851"/>
        </w:tabs>
        <w:spacing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Ефективното поддържане, модернизация и развитие на транспортната инфраструктура е приоритет, включващ конкретни цели и мерки за реализирането му.</w:t>
      </w:r>
    </w:p>
    <w:p w:rsidR="00ED46CF" w:rsidRPr="00ED46CF" w:rsidRDefault="00ED46CF" w:rsidP="00ED46CF">
      <w:pPr>
        <w:pStyle w:val="ListParagraph"/>
        <w:tabs>
          <w:tab w:val="left" w:pos="851"/>
        </w:tabs>
        <w:spacing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От основно значение ще бъде доизграждането на магистрални пътища по най-важните направления на страната. Досега изградените магистрали се намират основно в южната част на страната, поради което завършването на магистрала „Хемус“ ще има изключително значение за развитието на икономиката на Северна България и целия транспортен сектор. В тази връзка продължава изграждането и завършването в цялост по направлението „Видин-Ботевград“, което ще доведе до развитието на икономиката в северозападната част на страната.</w:t>
      </w:r>
    </w:p>
    <w:p w:rsidR="00ED46CF" w:rsidRPr="00ED46CF" w:rsidRDefault="00ED46CF" w:rsidP="00ED46CF">
      <w:pPr>
        <w:pStyle w:val="ListParagraph"/>
        <w:tabs>
          <w:tab w:val="left" w:pos="851"/>
        </w:tabs>
        <w:spacing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 xml:space="preserve">Завършването на АМ „Струма“, като част от Ориент/Източно-средиземноморския коридор от основната TEN-T мрежа, предлага най-краткия маршрут за връзка между р. Дунав и Егейско море и има важна роля за връзката между България, Румъния и Гърция. </w:t>
      </w:r>
    </w:p>
    <w:p w:rsidR="00ED46CF" w:rsidRPr="00ED46CF" w:rsidRDefault="00ED46CF" w:rsidP="00ED46CF">
      <w:pPr>
        <w:pStyle w:val="ListParagraph"/>
        <w:tabs>
          <w:tab w:val="left" w:pos="851"/>
        </w:tabs>
        <w:spacing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 xml:space="preserve">Не на последно място ще се подобрят условията и предпоставките за повишаване на пътната безопасност и опазване на околната среда. Като част от пътните артерии, автомагистралните и скоростни трасета имат голяма значение за интегрирането на Националната транспортна инфраструктура в Европейската транспортна система. </w:t>
      </w:r>
    </w:p>
    <w:p w:rsidR="00ED46CF" w:rsidRPr="00ED46CF" w:rsidRDefault="00ED46CF" w:rsidP="00ED46CF">
      <w:pPr>
        <w:pStyle w:val="ListParagraph"/>
        <w:tabs>
          <w:tab w:val="left" w:pos="851"/>
        </w:tabs>
        <w:spacing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 xml:space="preserve">Продължаване на дейностите по доизграждане на АМ „Европа“, което ще доведе до   подобряване на връзката с Република Сърбия и западните части на Балканския полуостров. </w:t>
      </w:r>
    </w:p>
    <w:p w:rsidR="00ED46CF" w:rsidRPr="00ED46CF" w:rsidRDefault="00ED46CF" w:rsidP="00ED46CF">
      <w:pPr>
        <w:pStyle w:val="ListParagraph"/>
        <w:tabs>
          <w:tab w:val="left" w:pos="851"/>
        </w:tabs>
        <w:spacing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Проект от транспортната инфраструктура от взаимен интерес за Република България и Република Северна Македония е изграждането на модерно трасе по направлението Гюешево - Кюстендил - Дупница, с което ще се осигури комфортна връзка между Трансевропейски транспортен коридор „Ориент/Източно Средиземноморски“ (АМ „Струма“) и границата с Република Северна Македония при ГКПП Гюешево. Пътната отсечка ще обслужва транзитно преминаващия вътрешен и международен тежкотоварен трафик от България към Северна Македония, Албания и Адриатика и ще предостави достъп от Западна Европа към пристанищните градове Варна и Бургас. Скоростната отсечка по направлението „Гюешево – Кюстендил – Дупница“  е алтернативно трасе на път I-6 Граница Северна Македония - о.п. Кюстендил - Перник и път II-62 О.п. Кюстендил - о.п. Дупница - Самоков. В резултат на идейно проектиране, което предстои да бъде възложено, ще бъдат проучени вариантите за възможно трасе. След определянето на целесъобразно трасе от технико-икономическа и екологична гледна точка, ще бъде възложено и извършено същинското техническо проектиране. Реализацията на скоростната отсечка следва да се завърши до 2030 г., с оглед  задълженията на Република  България по европейските регламенти и директиви за транспортна свързаност.</w:t>
      </w:r>
    </w:p>
    <w:p w:rsidR="00ED46CF" w:rsidRPr="00ED46CF" w:rsidRDefault="00ED46CF" w:rsidP="00ED46CF">
      <w:pPr>
        <w:pStyle w:val="ListParagraph"/>
        <w:tabs>
          <w:tab w:val="left" w:pos="851"/>
        </w:tabs>
        <w:spacing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 xml:space="preserve">По направление Пловдив - Смолян е предвидено изготвяне на прединвестиционно проучване за скоростно трасе и изработване на технически проект за изграждане на трета лента на път </w:t>
      </w:r>
      <w:r w:rsidRPr="00ED46CF">
        <w:rPr>
          <w:rFonts w:ascii="Times New Roman" w:hAnsi="Times New Roman" w:cs="Times New Roman"/>
          <w:color w:val="000000"/>
          <w:lang w:val="en-US"/>
        </w:rPr>
        <w:t>II-</w:t>
      </w:r>
      <w:r w:rsidRPr="00ED46CF">
        <w:rPr>
          <w:rFonts w:ascii="Times New Roman" w:hAnsi="Times New Roman" w:cs="Times New Roman"/>
          <w:color w:val="000000"/>
        </w:rPr>
        <w:t xml:space="preserve">86 Асеновград – Смолян в три участъка. </w:t>
      </w:r>
    </w:p>
    <w:p w:rsidR="00ED46CF" w:rsidRPr="00ED46CF" w:rsidRDefault="00ED46CF" w:rsidP="00ED46CF">
      <w:pPr>
        <w:pStyle w:val="ListParagraph"/>
        <w:tabs>
          <w:tab w:val="left" w:pos="851"/>
        </w:tabs>
        <w:spacing w:line="240" w:lineRule="auto"/>
        <w:ind w:left="0" w:firstLine="567"/>
        <w:jc w:val="both"/>
        <w:rPr>
          <w:rFonts w:ascii="Times New Roman" w:hAnsi="Times New Roman" w:cs="Times New Roman"/>
          <w:b/>
          <w:color w:val="000000"/>
        </w:rPr>
      </w:pPr>
      <w:r w:rsidRPr="00ED46CF">
        <w:rPr>
          <w:rFonts w:ascii="Times New Roman" w:hAnsi="Times New Roman" w:cs="Times New Roman"/>
          <w:b/>
          <w:color w:val="000000"/>
        </w:rPr>
        <w:t xml:space="preserve">Развитие при изграждането по вертикалните направления север-юг: </w:t>
      </w:r>
    </w:p>
    <w:p w:rsidR="00ED46CF" w:rsidRPr="00ED46CF" w:rsidRDefault="00ED46CF" w:rsidP="00ED46CF">
      <w:pPr>
        <w:pStyle w:val="ListParagraph"/>
        <w:tabs>
          <w:tab w:val="left" w:pos="851"/>
        </w:tabs>
        <w:spacing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 Русе-Велико Търново – граница Република Гърция и Турция по направлението на основната Транс-европейска пътна мрежа;</w:t>
      </w:r>
    </w:p>
    <w:p w:rsidR="00ED46CF" w:rsidRPr="00ED46CF" w:rsidRDefault="00ED46CF" w:rsidP="00ED46CF">
      <w:pPr>
        <w:pStyle w:val="ListParagraph"/>
        <w:tabs>
          <w:tab w:val="left" w:pos="851"/>
        </w:tabs>
        <w:spacing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 АМ „Черно море“ - продължаване на дейностите по проектиране и осигуряване на необходимата проектна готовност за стартиране на строителство в участъка Варна-Бургас и паралелен анализ с нейното продължаване в посока транспортна свързаност север с Република Румъния и посока юг с Република Турция. Предвижда се изграждане на ново мостово съоръжение над Варненско – Белославското езеро (алтернатива на Аспарухов мост) и тунелно преминаване през Стара планина.</w:t>
      </w:r>
    </w:p>
    <w:p w:rsidR="00ED46CF" w:rsidRPr="00ED46CF" w:rsidRDefault="00ED46CF" w:rsidP="00ED46CF">
      <w:pPr>
        <w:pStyle w:val="ListParagraph"/>
        <w:tabs>
          <w:tab w:val="left" w:pos="851"/>
        </w:tabs>
        <w:spacing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 xml:space="preserve">- Подобряване на пресичането през Стара планина по маршрута Монтана – София чрез изграждане на тунел под прохода Петрохан. </w:t>
      </w:r>
    </w:p>
    <w:p w:rsidR="00ED46CF" w:rsidRPr="00ED46CF" w:rsidRDefault="00ED46CF" w:rsidP="00ED46CF">
      <w:pPr>
        <w:pStyle w:val="ListParagraph"/>
        <w:tabs>
          <w:tab w:val="left" w:pos="851"/>
        </w:tabs>
        <w:spacing w:line="240" w:lineRule="auto"/>
        <w:ind w:left="0" w:firstLine="567"/>
        <w:jc w:val="both"/>
        <w:rPr>
          <w:rFonts w:ascii="Times New Roman" w:hAnsi="Times New Roman" w:cs="Times New Roman"/>
          <w:b/>
          <w:color w:val="000000"/>
        </w:rPr>
      </w:pPr>
      <w:r w:rsidRPr="00ED46CF">
        <w:rPr>
          <w:rFonts w:ascii="Times New Roman" w:hAnsi="Times New Roman" w:cs="Times New Roman"/>
          <w:b/>
          <w:color w:val="000000"/>
        </w:rPr>
        <w:lastRenderedPageBreak/>
        <w:t>Доизграждането на магистралните и скоростни трасета ще допринесе до затваряне на автомагистралния пръстен на Р България, респективно допълването и разширяването в хоризонтално и вертикално отношение ще доведе до подобряване на транспортната свързаност в страната и връзката със съседните държави.</w:t>
      </w:r>
    </w:p>
    <w:p w:rsidR="00ED46CF" w:rsidRPr="00ED46CF" w:rsidRDefault="00ED46CF" w:rsidP="00ED46CF">
      <w:pPr>
        <w:pStyle w:val="ListParagraph"/>
        <w:tabs>
          <w:tab w:val="left" w:pos="851"/>
        </w:tabs>
        <w:spacing w:line="240" w:lineRule="auto"/>
        <w:ind w:left="0" w:firstLine="567"/>
        <w:jc w:val="both"/>
        <w:rPr>
          <w:rFonts w:ascii="Times New Roman" w:hAnsi="Times New Roman" w:cs="Times New Roman"/>
          <w:color w:val="000000"/>
        </w:rPr>
      </w:pPr>
      <w:r>
        <w:rPr>
          <w:rFonts w:ascii="Times New Roman" w:hAnsi="Times New Roman" w:cs="Times New Roman"/>
          <w:color w:val="000000"/>
        </w:rPr>
        <w:t xml:space="preserve"> </w:t>
      </w:r>
      <w:r w:rsidRPr="00ED46CF">
        <w:rPr>
          <w:rFonts w:ascii="Times New Roman" w:hAnsi="Times New Roman" w:cs="Times New Roman"/>
          <w:color w:val="000000"/>
        </w:rPr>
        <w:t>Ще продължат усилията за подобряване на свързаността с Румъния, чрез изграждането на нови мостови съоръжения над р. Дунав чрез сключване на Спогодба за подобряване транспортната свързаност между двете държави.</w:t>
      </w:r>
    </w:p>
    <w:p w:rsidR="00ED46CF" w:rsidRPr="00ED46CF" w:rsidRDefault="00ED46CF" w:rsidP="00ED46CF">
      <w:pPr>
        <w:pStyle w:val="ListParagraph"/>
        <w:tabs>
          <w:tab w:val="left" w:pos="851"/>
        </w:tabs>
        <w:spacing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Развитие при проектирането и изграждането на обходни/околовръстни пътища в</w:t>
      </w:r>
      <w:r w:rsidRPr="00ED46CF">
        <w:rPr>
          <w:rFonts w:ascii="Times New Roman" w:hAnsi="Times New Roman" w:cs="Times New Roman"/>
          <w:b/>
          <w:color w:val="000000"/>
        </w:rPr>
        <w:t xml:space="preserve"> </w:t>
      </w:r>
      <w:r w:rsidRPr="00ED46CF">
        <w:rPr>
          <w:rFonts w:ascii="Times New Roman" w:hAnsi="Times New Roman" w:cs="Times New Roman"/>
          <w:color w:val="000000"/>
        </w:rPr>
        <w:t xml:space="preserve">градовете  София, Пазарджик, Пловдив, Плевен, Чепеларе, Провадия, Бургас, Петрич, Плевен, Павликени. </w:t>
      </w:r>
    </w:p>
    <w:p w:rsidR="00ED46CF" w:rsidRPr="00ED46CF" w:rsidRDefault="00ED46CF" w:rsidP="00ED46CF">
      <w:pPr>
        <w:pStyle w:val="ListParagraph"/>
        <w:tabs>
          <w:tab w:val="left" w:pos="851"/>
        </w:tabs>
        <w:spacing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 xml:space="preserve">Подобряване на свързаността и достъпността до TEN-T мрежата за товари и пътници чрез мерки, финансирани от фондовете на ЕС, чрез дейности по строителство, реконструкция и основен ремонт на първокласни, второкласни и третокласни пътища (извън Трансевропейската транспортна мрежа), които обслужват вътрешно-регионални връзки и осигуряват възможности за развитие на специфичния икономически потенциал, чрез връзка и достъп до TEN-T мрежата. Също и подобряване на съществуващата пътна инфраструктура чрез осигуряване на дейности по основен ремонт и текущо поддържане на републиканската пътна мрежа. </w:t>
      </w:r>
    </w:p>
    <w:p w:rsidR="00ED46CF" w:rsidRPr="00ED46CF" w:rsidRDefault="00ED46CF" w:rsidP="00ED46CF">
      <w:pPr>
        <w:pStyle w:val="ListParagraph"/>
        <w:tabs>
          <w:tab w:val="left" w:pos="851"/>
        </w:tabs>
        <w:spacing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Освен към подобряване на качеството на наличната транспортна инфраструктура, АПИ ще продължи работата по внедряване на интелигентни транспортни системи в сектора, както и по въвеждане на цифрово предаване на информация за товарни превози, което ще допринесе за намаляване на административната тежест и подобряване на логистичните операции.</w:t>
      </w:r>
    </w:p>
    <w:p w:rsidR="00ED46CF" w:rsidRPr="00ED46CF" w:rsidRDefault="00ED46CF" w:rsidP="00ED46CF">
      <w:pPr>
        <w:pStyle w:val="ListParagraph"/>
        <w:tabs>
          <w:tab w:val="left" w:pos="851"/>
        </w:tabs>
        <w:spacing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Агенция „Пътна инфраструктура“ изпълнява дейности по подобряване ефективността на въведения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 В средносрочната прогноза основните дейности за изпълнение на целта са проектиране, изграждане и въвеждане 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(ТОЛ) и на база  време за леки автомобили с обща технически допустима максимална маса до 3,5 т. (електронна винетка). От 1 януари 2019 г. започна поетапното въвеждане на ТОЛ системата с въвеждането на т.нар. „електронна винетка“ за леките автомобили, а от 01.03.2020 г. се тарифират и товарните автомобили над 3.5 т. Развитието на политиката е свързано с дейностите по събиране на пътни такси, при прилагане на принципите „Ползвателят плаща“ и „Замърсителят плаща“. Ключова дейност в процеса е осъществяването на ефективен контрол върху ползвателите на платената пътна мрежа. През 2022 г. се предвижда актуализиране на размера на тол таксите и определяне на размер за тол такси за пътища II – ри клас. С проекта на постановление на Министерския съвет се цели актуализиране на размера на таксата за изминато разстояние - тол такса за пътни превозни средства по чл. 10б, ал. 3 от ЗП. По този начин ще бъде реализирана целта относно постигане на по-справедливо разпределение на разходите за изграждане на нова и поддръжка на съществуващата пътна инфраструктура в страната в съответствие с принципите „ползвателят/замърсителят плаща“.</w:t>
      </w:r>
    </w:p>
    <w:p w:rsidR="001126A5" w:rsidRDefault="001126A5" w:rsidP="00A10F5E">
      <w:pPr>
        <w:pStyle w:val="ListParagraph"/>
        <w:tabs>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lang w:val="en-US"/>
        </w:rPr>
        <w:t xml:space="preserve">Политиката е тясно обвързана </w:t>
      </w:r>
      <w:r w:rsidR="00A859C0">
        <w:rPr>
          <w:rFonts w:ascii="Times New Roman" w:hAnsi="Times New Roman" w:cs="Times New Roman"/>
          <w:color w:val="000000"/>
        </w:rPr>
        <w:t xml:space="preserve">и </w:t>
      </w:r>
      <w:r w:rsidRPr="001126A5">
        <w:rPr>
          <w:rFonts w:ascii="Times New Roman" w:hAnsi="Times New Roman" w:cs="Times New Roman"/>
          <w:color w:val="000000"/>
          <w:lang w:val="en-US"/>
        </w:rPr>
        <w:t xml:space="preserve">с мерките и </w:t>
      </w:r>
      <w:r w:rsidR="00A859C0">
        <w:rPr>
          <w:rFonts w:ascii="Times New Roman" w:hAnsi="Times New Roman" w:cs="Times New Roman"/>
          <w:color w:val="000000"/>
          <w:lang w:val="en-US"/>
        </w:rPr>
        <w:t xml:space="preserve">приоритетите на министерството, </w:t>
      </w:r>
      <w:r w:rsidRPr="001126A5">
        <w:rPr>
          <w:rFonts w:ascii="Times New Roman" w:hAnsi="Times New Roman" w:cs="Times New Roman"/>
          <w:color w:val="000000"/>
          <w:lang w:val="en-US"/>
        </w:rPr>
        <w:t>в обл</w:t>
      </w:r>
      <w:r w:rsidR="00A859C0">
        <w:rPr>
          <w:rFonts w:ascii="Times New Roman" w:hAnsi="Times New Roman" w:cs="Times New Roman"/>
          <w:color w:val="000000"/>
          <w:lang w:val="en-US"/>
        </w:rPr>
        <w:t xml:space="preserve">астта на регионалното развитие, </w:t>
      </w:r>
      <w:r w:rsidRPr="001126A5">
        <w:rPr>
          <w:rFonts w:ascii="Times New Roman" w:hAnsi="Times New Roman" w:cs="Times New Roman"/>
          <w:color w:val="000000"/>
          <w:lang w:val="en-US"/>
        </w:rPr>
        <w:t>водния сектор и в областта на реализацията на дейностите по благоустройството и геозащитата.</w:t>
      </w:r>
      <w:r w:rsidRPr="001126A5">
        <w:rPr>
          <w:rFonts w:ascii="Times New Roman" w:eastAsia="Times New Roman" w:hAnsi="Times New Roman" w:cs="Times New Roman"/>
          <w:lang w:eastAsia="bg-BG"/>
        </w:rPr>
        <w:t xml:space="preserve"> </w:t>
      </w:r>
      <w:r w:rsidRPr="001126A5">
        <w:rPr>
          <w:rFonts w:ascii="Times New Roman" w:hAnsi="Times New Roman" w:cs="Times New Roman"/>
          <w:color w:val="000000"/>
        </w:rPr>
        <w:t>Визията за развитие на политиката е свързана с дейности за управление, поддържане и изграждане на „ВиК“ инфраструктурата, с цел осигуряване на съответствие с директивите на Европейския съюз в областта на водите и устойчивост при предоставяне на „ВиК“ услуги</w:t>
      </w:r>
      <w:r>
        <w:rPr>
          <w:rFonts w:ascii="Times New Roman" w:hAnsi="Times New Roman" w:cs="Times New Roman"/>
          <w:color w:val="000000"/>
        </w:rPr>
        <w:t>те, както и о</w:t>
      </w:r>
      <w:r w:rsidRPr="001126A5">
        <w:rPr>
          <w:rFonts w:ascii="Times New Roman" w:hAnsi="Times New Roman" w:cs="Times New Roman"/>
          <w:color w:val="000000"/>
        </w:rPr>
        <w:t>сигуряване на териториалното развитие, устройството на територията, административно-териториалното устройство, децентрализацията, изграждането и развитието на техническата инфраструктура и благоустрояването на урбанизираните територии (населени места и селищни образувания), в съответствие с националните стратегически документи, приоритети и програми в сферата на пространственото развитие, пътната инфраструктура, ВиК инфраструктурата и геозащитата.</w:t>
      </w:r>
    </w:p>
    <w:p w:rsidR="00567CD4" w:rsidRPr="00567CD4" w:rsidRDefault="00567CD4" w:rsidP="00567CD4">
      <w:pPr>
        <w:pStyle w:val="ListParagraph"/>
        <w:spacing w:after="0" w:line="240" w:lineRule="auto"/>
        <w:ind w:left="0" w:firstLine="567"/>
        <w:jc w:val="both"/>
        <w:rPr>
          <w:rFonts w:ascii="Times New Roman" w:hAnsi="Times New Roman" w:cs="Times New Roman"/>
          <w:color w:val="000000"/>
        </w:rPr>
      </w:pPr>
      <w:r w:rsidRPr="00567CD4">
        <w:rPr>
          <w:rFonts w:ascii="Times New Roman" w:hAnsi="Times New Roman" w:cs="Times New Roman"/>
          <w:color w:val="000000"/>
        </w:rPr>
        <w:t xml:space="preserve">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 ДНСК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w:t>
      </w:r>
      <w:r w:rsidRPr="00567CD4">
        <w:rPr>
          <w:rFonts w:ascii="Times New Roman" w:hAnsi="Times New Roman" w:cs="Times New Roman"/>
          <w:color w:val="000000"/>
        </w:rPr>
        <w:lastRenderedPageBreak/>
        <w:t>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Спирането и премахването на незаконни строежи и забрана ползването на строежи, които не са въведени в експлоатация по нормативно установения ред за строежи от първа, втора и трета категория се извършва от ДНСК.</w:t>
      </w:r>
    </w:p>
    <w:p w:rsidR="00567CD4" w:rsidRPr="00567CD4" w:rsidRDefault="00567CD4" w:rsidP="00567CD4">
      <w:pPr>
        <w:pStyle w:val="ListParagraph"/>
        <w:spacing w:after="0" w:line="240" w:lineRule="auto"/>
        <w:ind w:left="0" w:firstLine="567"/>
        <w:jc w:val="both"/>
        <w:rPr>
          <w:rFonts w:ascii="Times New Roman" w:hAnsi="Times New Roman" w:cs="Times New Roman"/>
          <w:color w:val="000000"/>
        </w:rPr>
      </w:pPr>
      <w:r w:rsidRPr="00567CD4">
        <w:rPr>
          <w:rFonts w:ascii="Times New Roman" w:hAnsi="Times New Roman" w:cs="Times New Roman"/>
          <w:color w:val="000000"/>
        </w:rPr>
        <w:t xml:space="preserve">Целта на политиката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w:t>
      </w:r>
    </w:p>
    <w:p w:rsidR="00567CD4" w:rsidRPr="00567CD4" w:rsidRDefault="00567CD4" w:rsidP="00567CD4">
      <w:pPr>
        <w:pStyle w:val="ListParagraph"/>
        <w:spacing w:after="0" w:line="240" w:lineRule="auto"/>
        <w:ind w:left="0" w:firstLine="567"/>
        <w:jc w:val="both"/>
        <w:rPr>
          <w:rFonts w:ascii="Times New Roman" w:hAnsi="Times New Roman" w:cs="Times New Roman"/>
          <w:color w:val="000000"/>
        </w:rPr>
      </w:pPr>
      <w:r w:rsidRPr="00567CD4">
        <w:rPr>
          <w:rFonts w:ascii="Times New Roman" w:hAnsi="Times New Roman" w:cs="Times New Roman"/>
          <w:color w:val="000000"/>
        </w:rPr>
        <w:t>Дирекция „Технически правила и норми“ (ТПН) в МРРБ отговаря за хармонизацията на техническата нормативна уредба за проектиране, изпълнение и експлоатация на строежите с правото на ЕС, осигуряването на свободното движение на строителните продукти и влагането им в строежите при осигуряване изпълнението на основните изисквания към строежите.</w:t>
      </w:r>
    </w:p>
    <w:p w:rsidR="00567CD4" w:rsidRPr="00567CD4" w:rsidRDefault="00567CD4" w:rsidP="00567CD4">
      <w:pPr>
        <w:pStyle w:val="ListParagraph"/>
        <w:spacing w:after="0" w:line="240" w:lineRule="auto"/>
        <w:ind w:left="0" w:firstLine="567"/>
        <w:jc w:val="both"/>
        <w:rPr>
          <w:rFonts w:ascii="Times New Roman" w:hAnsi="Times New Roman" w:cs="Times New Roman"/>
          <w:color w:val="000000"/>
        </w:rPr>
      </w:pPr>
      <w:r w:rsidRPr="00567CD4">
        <w:rPr>
          <w:rFonts w:ascii="Times New Roman" w:hAnsi="Times New Roman" w:cs="Times New Roman"/>
          <w:color w:val="000000"/>
        </w:rPr>
        <w:t>Дирекцията работи за осъществяването на държавна политика по разработването на технически нормативни актове в областта на обследването, проектирането, изпълнението, поддържането и разрушаването на строежите и хармонизиране на актовете с правото на Европейския съюз за създаване на условия за безопасни, енергоефективни и достъпни строежи с устойчиво използване на природните ресурси, както и за подобряване на околната среда в градовете и качеството на живот на гражданите. Дирекцията осъществява дейност в управлението на националната система за оценяване на строителните продукти и изпълнява функциите на звено за контакт относно продукти в строителството като подпомага:</w:t>
      </w:r>
    </w:p>
    <w:p w:rsidR="00567CD4" w:rsidRPr="00567CD4" w:rsidRDefault="00567CD4" w:rsidP="00567CD4">
      <w:pPr>
        <w:pStyle w:val="ListParagraph"/>
        <w:spacing w:after="0" w:line="240" w:lineRule="auto"/>
        <w:ind w:left="0" w:firstLine="567"/>
        <w:jc w:val="both"/>
        <w:rPr>
          <w:rFonts w:ascii="Times New Roman" w:hAnsi="Times New Roman" w:cs="Times New Roman"/>
          <w:color w:val="000000"/>
        </w:rPr>
      </w:pPr>
      <w:r w:rsidRPr="00567CD4">
        <w:rPr>
          <w:rFonts w:ascii="Times New Roman" w:hAnsi="Times New Roman" w:cs="Times New Roman"/>
          <w:color w:val="000000"/>
        </w:rPr>
        <w:t>- подобряването на инвестиционния климат и привличането на чуждестранни инвеститори, осигуряване на свободно движение на строителните продукти на единния европейски пазар, развитието на реален пазар на недвижими имоти, което практически е много тясно свързано с провеждане на политиката по регулиране на отрасъл строителство,  с изграждането на устойчива жизнена среда в т.ч. на основните мрежи на транспортната, енергийната, водностопанската и съобщителната инфраструктура и обвързването им с тези на съседните страни и общоевропейската инфраструктурна система;</w:t>
      </w:r>
    </w:p>
    <w:p w:rsidR="00567CD4" w:rsidRPr="001126A5" w:rsidRDefault="00567CD4" w:rsidP="00567CD4">
      <w:pPr>
        <w:pStyle w:val="ListParagraph"/>
        <w:spacing w:after="0" w:line="240" w:lineRule="auto"/>
        <w:ind w:left="0" w:firstLine="567"/>
        <w:jc w:val="both"/>
        <w:rPr>
          <w:rFonts w:ascii="Times New Roman" w:hAnsi="Times New Roman" w:cs="Times New Roman"/>
          <w:color w:val="000000"/>
        </w:rPr>
      </w:pPr>
      <w:r w:rsidRPr="00567CD4">
        <w:rPr>
          <w:rFonts w:ascii="Times New Roman" w:hAnsi="Times New Roman" w:cs="Times New Roman"/>
          <w:color w:val="000000"/>
        </w:rPr>
        <w:t>- подкрепата за фирмите, създаващи иновативни продукти чрез създаване на условия за конкурентоспособност и развитие на българския бизнес и насърчаване на инвестициите в модерни и иновативни производства, които създават нови работни места.</w:t>
      </w:r>
    </w:p>
    <w:p w:rsidR="001126A5" w:rsidRPr="00F25EA9" w:rsidRDefault="001126A5" w:rsidP="00F25EA9">
      <w:pPr>
        <w:pStyle w:val="ListParagraph"/>
        <w:tabs>
          <w:tab w:val="left" w:pos="851"/>
        </w:tabs>
        <w:spacing w:after="0" w:line="240" w:lineRule="auto"/>
        <w:ind w:left="0" w:firstLine="567"/>
        <w:rPr>
          <w:rFonts w:ascii="Times New Roman" w:hAnsi="Times New Roman" w:cs="Times New Roman"/>
          <w:b/>
          <w:i/>
          <w:color w:val="000000"/>
        </w:rPr>
      </w:pPr>
      <w:r w:rsidRPr="00F25EA9">
        <w:rPr>
          <w:rFonts w:ascii="Times New Roman" w:hAnsi="Times New Roman" w:cs="Times New Roman"/>
          <w:b/>
          <w:i/>
          <w:color w:val="000000"/>
        </w:rPr>
        <w:t>Стратегически цели</w:t>
      </w:r>
    </w:p>
    <w:p w:rsidR="00ED46CF" w:rsidRPr="00ED46CF" w:rsidRDefault="00ED46CF" w:rsidP="00ED46CF">
      <w:pPr>
        <w:pStyle w:val="ListParagraph"/>
        <w:numPr>
          <w:ilvl w:val="0"/>
          <w:numId w:val="34"/>
        </w:numPr>
        <w:spacing w:after="0"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Въвеждане на по-справедлив модел за таксуване за ползване н</w:t>
      </w:r>
      <w:r>
        <w:rPr>
          <w:rFonts w:ascii="Times New Roman" w:hAnsi="Times New Roman" w:cs="Times New Roman"/>
          <w:color w:val="000000"/>
        </w:rPr>
        <w:t xml:space="preserve">а републиканската пътна мрежа, </w:t>
      </w:r>
      <w:r w:rsidRPr="00ED46CF">
        <w:rPr>
          <w:rFonts w:ascii="Times New Roman" w:hAnsi="Times New Roman" w:cs="Times New Roman"/>
          <w:color w:val="000000"/>
        </w:rPr>
        <w:t>чрез въвеждане на смесена система: електронна винетка за леки автомобили и тол такса за изминато разстояние за тежкотоварните автомобили</w:t>
      </w:r>
    </w:p>
    <w:p w:rsidR="00ED46CF" w:rsidRDefault="00ED46CF" w:rsidP="00ED46CF">
      <w:pPr>
        <w:pStyle w:val="ListParagraph"/>
        <w:numPr>
          <w:ilvl w:val="0"/>
          <w:numId w:val="34"/>
        </w:numPr>
        <w:spacing w:after="0"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През 2020 г. e внедрeна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(ТОЛ) и на база време за леки автомобили с обща технически допустима максимална маса до 3,5 т. (електронна винетка);</w:t>
      </w:r>
    </w:p>
    <w:p w:rsidR="00ED46CF" w:rsidRPr="00ED46CF" w:rsidRDefault="00ED46CF" w:rsidP="00ED46CF">
      <w:pPr>
        <w:pStyle w:val="ListParagraph"/>
        <w:numPr>
          <w:ilvl w:val="0"/>
          <w:numId w:val="34"/>
        </w:numPr>
        <w:spacing w:after="0" w:line="240" w:lineRule="auto"/>
        <w:ind w:left="0" w:firstLine="567"/>
        <w:jc w:val="both"/>
        <w:rPr>
          <w:rFonts w:ascii="Times New Roman" w:hAnsi="Times New Roman" w:cs="Times New Roman"/>
          <w:color w:val="000000"/>
        </w:rPr>
      </w:pPr>
      <w:r w:rsidRPr="00ED46CF">
        <w:rPr>
          <w:rFonts w:ascii="Times New Roman" w:hAnsi="Times New Roman" w:cs="Times New Roman"/>
        </w:rPr>
        <w:t>В прогнозата е отразено очакваното допълнително нарастване на приходите за трите години във връзка с предприети действия от АПИ през 2021 г. за актуализиране на „Тарифа за таксите, които се събират за преминаване и ползване на републиканската пътна мрежа“. С приемането на проекта на Постановление на Министерския съвет ще бъдат прецизирани текстовете на Тарифата, които уреждат заплащането на таксите по чл. 10, ал. 1 и ал. 2 от Закона за пътищата и ще бъдат актуализирани размерите на таксата на база и</w:t>
      </w:r>
      <w:r>
        <w:rPr>
          <w:rFonts w:ascii="Times New Roman" w:hAnsi="Times New Roman" w:cs="Times New Roman"/>
        </w:rPr>
        <w:t>зминато разстояние (тол такса);</w:t>
      </w:r>
    </w:p>
    <w:p w:rsidR="00ED46CF" w:rsidRPr="00ED46CF" w:rsidRDefault="00ED46CF" w:rsidP="00ED46CF">
      <w:pPr>
        <w:pStyle w:val="ListParagraph"/>
        <w:numPr>
          <w:ilvl w:val="0"/>
          <w:numId w:val="34"/>
        </w:numPr>
        <w:spacing w:after="0" w:line="240" w:lineRule="auto"/>
        <w:ind w:left="0" w:firstLine="567"/>
        <w:jc w:val="both"/>
        <w:rPr>
          <w:rFonts w:ascii="Times New Roman" w:hAnsi="Times New Roman" w:cs="Times New Roman"/>
          <w:color w:val="000000"/>
        </w:rPr>
      </w:pPr>
      <w:r w:rsidRPr="00ED46CF">
        <w:rPr>
          <w:rFonts w:ascii="Times New Roman" w:hAnsi="Times New Roman" w:cs="Times New Roman"/>
        </w:rPr>
        <w:t>Актуализирането на размера на таксата за всички пътни превозни средства с обща технически допустима максимална маса над 3,5 тона - такса за изминато разстояние (тол такса), ще окаже икономическо и социално въздействие върху групата заинтересовани страни, които са водачите на пътни превозни средства с обща технически допустима максимална маса над 3,5 тона. Също така ще бъде оказано общо – икономическо въздействие, върху сектор „Транспорт“ и върху различни участници от ве</w:t>
      </w:r>
      <w:r w:rsidR="00963762">
        <w:rPr>
          <w:rFonts w:ascii="Times New Roman" w:hAnsi="Times New Roman" w:cs="Times New Roman"/>
        </w:rPr>
        <w:t xml:space="preserve">ригата на добавената стойност. </w:t>
      </w:r>
      <w:r w:rsidRPr="00ED46CF">
        <w:rPr>
          <w:rFonts w:ascii="Times New Roman" w:hAnsi="Times New Roman" w:cs="Times New Roman"/>
        </w:rPr>
        <w:t>За МРРБ и АПИ е предвидено увеличаване на приходите от пътни такси. За гражданите и бизнеса увеличаването  на приходите от пътни такси ще доведе до разходване на повече средства за рехабилитация на пътищата и изграждането на нови, което ще увеличи възможността за по – бързо и по – безопасно придвижване по републиканската пътна мрежа.</w:t>
      </w:r>
    </w:p>
    <w:p w:rsidR="005D27F6" w:rsidRDefault="005D27F6" w:rsidP="005D27F6">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С промяна на тарифата освен предвиденото увеличаване на събраните приходи, се цели:</w:t>
      </w:r>
    </w:p>
    <w:p w:rsidR="005D27F6" w:rsidRDefault="005D27F6" w:rsidP="005D27F6">
      <w:pPr>
        <w:pStyle w:val="ListParagraph"/>
        <w:numPr>
          <w:ilvl w:val="0"/>
          <w:numId w:val="39"/>
        </w:numPr>
        <w:tabs>
          <w:tab w:val="left" w:pos="851"/>
        </w:tabs>
        <w:spacing w:after="0" w:line="240" w:lineRule="auto"/>
        <w:ind w:left="0" w:firstLine="567"/>
        <w:jc w:val="both"/>
        <w:rPr>
          <w:rFonts w:ascii="Times New Roman" w:eastAsia="Times New Roman" w:hAnsi="Times New Roman" w:cs="Times New Roman"/>
          <w:lang w:eastAsia="bg-BG"/>
        </w:rPr>
      </w:pPr>
      <w:r>
        <w:rPr>
          <w:rFonts w:ascii="Times New Roman" w:eastAsia="Times New Roman" w:hAnsi="Times New Roman"/>
          <w:lang w:eastAsia="bg-BG"/>
        </w:rPr>
        <w:lastRenderedPageBreak/>
        <w:t>Актуализиране на размера на тол таксите и определяне на размер за тол такси за пътища II – ри клас - актуализиране на размера на таксата за изминато разстояние - тол такса за пътни превозни средства по чл. 10б, ал. 3 от ЗП. По този начин ще бъде реализирана целта относно постигане на по-справедливо разпределение на разходите за изграждане на нова и поддръжка на съществуващата пътна инфраструктура в страната в съответствие с принципите „ползвателят/замърсителят плаща“. При прилагане на предложения вариант, съобразен с разработените от Световна банка сценарии, ще се доближим максимално до таксите на съседните на Република България страни. На следващо място, ще се уеднакви подходът към ползвателите на платената пътна мрежа в страната – за движение по второкласната пътна мрежа, включена в обхвата на републиканската пътна мрежа, освен лекотоварните ППС, пътна такса ще заплащат и тежкотоварните ППС.</w:t>
      </w:r>
    </w:p>
    <w:p w:rsidR="005D27F6" w:rsidRDefault="005D27F6" w:rsidP="005D27F6">
      <w:pPr>
        <w:pStyle w:val="ListParagraph"/>
        <w:numPr>
          <w:ilvl w:val="0"/>
          <w:numId w:val="39"/>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Отпадане на категоризацията на пътните превозни средства по Тарифа за таксите, които се събират за преминаване и ползване на републиканската пътна мрежа.</w:t>
      </w:r>
    </w:p>
    <w:p w:rsidR="005D27F6" w:rsidRDefault="005D27F6" w:rsidP="005D27F6">
      <w:pPr>
        <w:pStyle w:val="ListParagraph"/>
        <w:numPr>
          <w:ilvl w:val="0"/>
          <w:numId w:val="39"/>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Отпадане на облекчения режим на таксуване за пътни превозни средства над 3,5 тона, използващи като единствен източник алтернативно гориво по реда на чл. 27, ал. 2 от Тарифа за таксите, които се събират за преминаване и ползване на републиканската пътна мрежа. По този начин ще бъде спазен основният принцип на ЕС „ползвателят плаща“ и ще бъде увеличен основният приход от пътни такси, чието предназначение е за изграждане/рехабилитация на републиканската пътна мрежа.</w:t>
      </w:r>
    </w:p>
    <w:p w:rsidR="00ED46CF" w:rsidRPr="00ED46CF" w:rsidRDefault="00ED46CF" w:rsidP="00ED46CF">
      <w:pPr>
        <w:spacing w:after="0" w:line="240" w:lineRule="auto"/>
        <w:ind w:firstLine="567"/>
        <w:jc w:val="both"/>
        <w:rPr>
          <w:rFonts w:ascii="Times New Roman" w:hAnsi="Times New Roman" w:cs="Times New Roman"/>
        </w:rPr>
      </w:pPr>
      <w:r w:rsidRPr="00ED46CF">
        <w:rPr>
          <w:rFonts w:ascii="Times New Roman" w:hAnsi="Times New Roman" w:cs="Times New Roman"/>
        </w:rPr>
        <w:t>Изграждането на модерна и безопасна пътна инфраструктура е основен приоритет за АПИ чрез д</w:t>
      </w:r>
      <w:r w:rsidRPr="00ED46CF">
        <w:rPr>
          <w:rFonts w:ascii="Times New Roman" w:eastAsia="Times New Roman" w:hAnsi="Times New Roman" w:cs="Times New Roman"/>
          <w:lang w:eastAsia="bg-BG"/>
        </w:rPr>
        <w:t xml:space="preserve">оизграждането на магистралните и скоростни трасета, което ще допринесе до затваряне на автомагистралния пръстен на Р България, респективно допълването и разширяването в хоризонтално и вертикално отношение ще доведе до подобряване на транспортната свързаност в страната и връзката със съседните държави. </w:t>
      </w:r>
      <w:r w:rsidRPr="00ED46CF">
        <w:rPr>
          <w:rFonts w:ascii="Times New Roman" w:hAnsi="Times New Roman" w:cs="Times New Roman"/>
        </w:rPr>
        <w:t>Тази цел ще бъде постигната чрез реализацията на стратегически инфраструктурни проекти, като:</w:t>
      </w:r>
    </w:p>
    <w:p w:rsidR="00ED46CF" w:rsidRPr="00ED46CF" w:rsidRDefault="00ED46CF" w:rsidP="00ED46CF">
      <w:pPr>
        <w:pStyle w:val="ListParagraph"/>
        <w:numPr>
          <w:ilvl w:val="0"/>
          <w:numId w:val="38"/>
        </w:numPr>
        <w:spacing w:after="0" w:line="240" w:lineRule="auto"/>
        <w:ind w:left="0" w:firstLine="567"/>
        <w:jc w:val="both"/>
        <w:rPr>
          <w:rFonts w:ascii="Times New Roman" w:hAnsi="Times New Roman" w:cs="Times New Roman"/>
          <w:lang w:val="en-US"/>
        </w:rPr>
      </w:pPr>
      <w:r w:rsidRPr="00ED46CF">
        <w:rPr>
          <w:rFonts w:ascii="Times New Roman" w:hAnsi="Times New Roman" w:cs="Times New Roman"/>
        </w:rPr>
        <w:t>Модернизация на път I-8 „Калотина – Софийски околовръстен път“, участък от км 1+000 до км 15+500 и етапна връзка</w:t>
      </w:r>
      <w:r w:rsidRPr="00ED46CF">
        <w:rPr>
          <w:rFonts w:ascii="Times New Roman" w:hAnsi="Times New Roman" w:cs="Times New Roman"/>
          <w:lang w:val="en-US"/>
        </w:rPr>
        <w:t>;</w:t>
      </w:r>
    </w:p>
    <w:p w:rsidR="00ED46CF" w:rsidRPr="00ED46CF" w:rsidRDefault="00ED46CF" w:rsidP="00ED46CF">
      <w:pPr>
        <w:pStyle w:val="ListParagraph"/>
        <w:numPr>
          <w:ilvl w:val="0"/>
          <w:numId w:val="38"/>
        </w:numPr>
        <w:spacing w:after="0" w:line="240" w:lineRule="auto"/>
        <w:ind w:left="0" w:firstLine="567"/>
        <w:jc w:val="both"/>
        <w:rPr>
          <w:rFonts w:ascii="Times New Roman" w:hAnsi="Times New Roman" w:cs="Times New Roman"/>
          <w:lang w:val="en-US"/>
        </w:rPr>
      </w:pPr>
      <w:r w:rsidRPr="00ED46CF">
        <w:rPr>
          <w:rFonts w:ascii="Times New Roman" w:hAnsi="Times New Roman" w:cs="Times New Roman"/>
        </w:rPr>
        <w:t>АМ „Европа“  от км 32+447,20 до км 48+903“</w:t>
      </w:r>
      <w:r w:rsidRPr="00ED46CF">
        <w:rPr>
          <w:rFonts w:ascii="Times New Roman" w:hAnsi="Times New Roman" w:cs="Times New Roman"/>
          <w:lang w:val="en-US"/>
        </w:rPr>
        <w:t>;</w:t>
      </w:r>
    </w:p>
    <w:p w:rsidR="00ED46CF" w:rsidRPr="00ED46CF" w:rsidRDefault="00ED46CF" w:rsidP="00ED46CF">
      <w:pPr>
        <w:pStyle w:val="ListParagraph"/>
        <w:numPr>
          <w:ilvl w:val="0"/>
          <w:numId w:val="38"/>
        </w:numPr>
        <w:spacing w:after="0" w:line="240" w:lineRule="auto"/>
        <w:ind w:left="0" w:firstLine="567"/>
        <w:jc w:val="both"/>
        <w:rPr>
          <w:rFonts w:ascii="Times New Roman" w:hAnsi="Times New Roman" w:cs="Times New Roman"/>
        </w:rPr>
      </w:pPr>
      <w:r w:rsidRPr="00ED46CF">
        <w:rPr>
          <w:rFonts w:ascii="Times New Roman" w:hAnsi="Times New Roman" w:cs="Times New Roman"/>
        </w:rPr>
        <w:t>АМ "Струма" Лот 3.2</w:t>
      </w:r>
      <w:r w:rsidRPr="00ED46CF">
        <w:rPr>
          <w:rFonts w:ascii="Times New Roman" w:hAnsi="Times New Roman" w:cs="Times New Roman"/>
          <w:lang w:val="en-US"/>
        </w:rPr>
        <w:t>;</w:t>
      </w:r>
    </w:p>
    <w:p w:rsidR="00ED46CF" w:rsidRPr="00ED46CF" w:rsidRDefault="00ED46CF" w:rsidP="00ED46CF">
      <w:pPr>
        <w:pStyle w:val="ListParagraph"/>
        <w:numPr>
          <w:ilvl w:val="0"/>
          <w:numId w:val="38"/>
        </w:numPr>
        <w:spacing w:after="0" w:line="240" w:lineRule="auto"/>
        <w:ind w:left="0" w:firstLine="567"/>
        <w:jc w:val="both"/>
        <w:rPr>
          <w:rFonts w:ascii="Times New Roman" w:hAnsi="Times New Roman" w:cs="Times New Roman"/>
        </w:rPr>
      </w:pPr>
      <w:r w:rsidRPr="00ED46CF">
        <w:rPr>
          <w:rFonts w:ascii="Times New Roman" w:hAnsi="Times New Roman" w:cs="Times New Roman"/>
        </w:rPr>
        <w:t>„Обход на гр. Габрово от км 20+124,50 до км 30+673,48, включително тунел под връх Шипка“</w:t>
      </w:r>
      <w:r w:rsidRPr="00ED46CF">
        <w:rPr>
          <w:rFonts w:ascii="Times New Roman" w:hAnsi="Times New Roman" w:cs="Times New Roman"/>
          <w:lang w:val="en-US"/>
        </w:rPr>
        <w:t>;</w:t>
      </w:r>
    </w:p>
    <w:p w:rsidR="00ED46CF" w:rsidRPr="00ED46CF" w:rsidRDefault="00ED46CF" w:rsidP="00ED46CF">
      <w:pPr>
        <w:pStyle w:val="ListParagraph"/>
        <w:numPr>
          <w:ilvl w:val="0"/>
          <w:numId w:val="38"/>
        </w:numPr>
        <w:spacing w:after="0" w:line="240" w:lineRule="auto"/>
        <w:ind w:left="0" w:firstLine="567"/>
        <w:jc w:val="both"/>
        <w:rPr>
          <w:rFonts w:ascii="Times New Roman" w:hAnsi="Times New Roman" w:cs="Times New Roman"/>
        </w:rPr>
      </w:pPr>
      <w:r w:rsidRPr="00ED46CF">
        <w:rPr>
          <w:rFonts w:ascii="Times New Roman" w:hAnsi="Times New Roman" w:cs="Times New Roman"/>
        </w:rPr>
        <w:t>АМ „Русе – Велико Търново“</w:t>
      </w:r>
      <w:r w:rsidRPr="00ED46CF">
        <w:rPr>
          <w:rFonts w:ascii="Times New Roman" w:hAnsi="Times New Roman" w:cs="Times New Roman"/>
          <w:lang w:val="en-US"/>
        </w:rPr>
        <w:t>;</w:t>
      </w:r>
    </w:p>
    <w:p w:rsidR="00ED46CF" w:rsidRPr="00ED46CF" w:rsidRDefault="00ED46CF" w:rsidP="00ED46CF">
      <w:pPr>
        <w:pStyle w:val="ListParagraph"/>
        <w:numPr>
          <w:ilvl w:val="0"/>
          <w:numId w:val="38"/>
        </w:numPr>
        <w:spacing w:after="0" w:line="240" w:lineRule="auto"/>
        <w:ind w:left="0" w:firstLine="567"/>
        <w:jc w:val="both"/>
        <w:rPr>
          <w:rFonts w:ascii="Times New Roman" w:hAnsi="Times New Roman" w:cs="Times New Roman"/>
        </w:rPr>
      </w:pPr>
      <w:r w:rsidRPr="00ED46CF">
        <w:rPr>
          <w:rFonts w:ascii="Times New Roman" w:hAnsi="Times New Roman" w:cs="Times New Roman"/>
        </w:rPr>
        <w:t>„Обходен път на гр. Бургас от км 230+700 на път I-9 Сарафово - Бургас до км 493+550 на път I-6 Ветрен-Бургас и локални платна“</w:t>
      </w:r>
      <w:r w:rsidRPr="00ED46CF">
        <w:rPr>
          <w:rFonts w:ascii="Times New Roman" w:hAnsi="Times New Roman" w:cs="Times New Roman"/>
          <w:lang w:val="en-US"/>
        </w:rPr>
        <w:t>;</w:t>
      </w:r>
    </w:p>
    <w:p w:rsidR="00ED46CF" w:rsidRPr="00ED46CF" w:rsidRDefault="00ED46CF" w:rsidP="00ED46CF">
      <w:pPr>
        <w:pStyle w:val="ListParagraph"/>
        <w:numPr>
          <w:ilvl w:val="0"/>
          <w:numId w:val="38"/>
        </w:numPr>
        <w:spacing w:after="0" w:line="240" w:lineRule="auto"/>
        <w:ind w:left="0" w:firstLine="567"/>
        <w:jc w:val="both"/>
        <w:rPr>
          <w:rFonts w:ascii="Times New Roman" w:hAnsi="Times New Roman" w:cs="Times New Roman"/>
        </w:rPr>
      </w:pPr>
      <w:r w:rsidRPr="00ED46CF">
        <w:rPr>
          <w:rFonts w:ascii="Times New Roman" w:hAnsi="Times New Roman" w:cs="Times New Roman"/>
        </w:rPr>
        <w:t>Изготвяне на технически проект и строителство (инженеринг) на обект: АМ Хемус, участък от км 310+940 до км 327+260. Обща дължина 16,320 км</w:t>
      </w:r>
      <w:r w:rsidRPr="00ED46CF">
        <w:rPr>
          <w:rFonts w:ascii="Times New Roman" w:hAnsi="Times New Roman" w:cs="Times New Roman"/>
          <w:lang w:val="en-US"/>
        </w:rPr>
        <w:t>.</w:t>
      </w:r>
    </w:p>
    <w:p w:rsidR="001126A5" w:rsidRPr="00ED46CF" w:rsidRDefault="001126A5" w:rsidP="00ED46CF">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Качествено транспортно обслужване по общинските пътища;</w:t>
      </w:r>
    </w:p>
    <w:p w:rsidR="001126A5" w:rsidRPr="00ED46CF" w:rsidRDefault="001126A5" w:rsidP="00ED46CF">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Подобряване на качеството на жизнената среда;</w:t>
      </w:r>
    </w:p>
    <w:p w:rsidR="001126A5" w:rsidRPr="00ED46CF" w:rsidRDefault="001126A5" w:rsidP="00ED46CF">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Превенция и ограничаване на свлачищните процеси на територията на страната и на ерозионните и абразионни процеси по Дунавското и Черноморското крайбрежие;</w:t>
      </w:r>
    </w:p>
    <w:p w:rsidR="001126A5" w:rsidRPr="00ED46CF" w:rsidRDefault="001126A5" w:rsidP="00ED46CF">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Нормативна и приложна дейност в областта на пътната инфраструктура;</w:t>
      </w:r>
    </w:p>
    <w:p w:rsidR="001126A5" w:rsidRPr="00ED46CF" w:rsidRDefault="001126A5" w:rsidP="00ED46CF">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Изпълнение на обекти за осигуряване на транспортна достъпност  на населените места и развитие и модернизация на комуникационно-транспортната система на общините;</w:t>
      </w:r>
    </w:p>
    <w:p w:rsidR="001126A5" w:rsidRPr="00ED46CF" w:rsidRDefault="001126A5" w:rsidP="00ED46CF">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ED46CF">
        <w:rPr>
          <w:rFonts w:ascii="Times New Roman" w:hAnsi="Times New Roman" w:cs="Times New Roman"/>
          <w:color w:val="000000"/>
        </w:rPr>
        <w:t>Изпълнение на превантивни мерки и дейности за ограничаване на свлачищата, ерозионните процеси по Дунавското крайбрежие и абразионните процеси по Черноморското крайбрежие с оглeд прeдотвратяване на аварии и щети;</w:t>
      </w:r>
    </w:p>
    <w:p w:rsidR="001126A5" w:rsidRPr="001126A5" w:rsidRDefault="001126A5" w:rsidP="00ED46CF">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Постигане на финансово, технически и  екологично устойчив ВиК отрасъл, който предоставя ВиК услуги с високо качество, в съответствие с националното законодателство и европейските директиви в областта на водоснабдяването, отвежда</w:t>
      </w:r>
      <w:r>
        <w:rPr>
          <w:rFonts w:ascii="Times New Roman" w:hAnsi="Times New Roman" w:cs="Times New Roman"/>
          <w:color w:val="000000"/>
        </w:rPr>
        <w:t>нето и пречистването на водите.</w:t>
      </w:r>
      <w:r w:rsidR="00790809">
        <w:rPr>
          <w:rFonts w:ascii="Times New Roman" w:hAnsi="Times New Roman" w:cs="Times New Roman"/>
          <w:color w:val="000000"/>
        </w:rPr>
        <w:t xml:space="preserve"> </w:t>
      </w:r>
      <w:r w:rsidRPr="001126A5">
        <w:rPr>
          <w:rFonts w:ascii="Times New Roman" w:hAnsi="Times New Roman" w:cs="Times New Roman"/>
          <w:color w:val="000000"/>
        </w:rPr>
        <w:t>Съответствие с европейските директиви в областта на питейните и отпадъчните води;</w:t>
      </w:r>
    </w:p>
    <w:p w:rsidR="001126A5" w:rsidRPr="001126A5" w:rsidRDefault="001126A5" w:rsidP="00ED46CF">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Съответствие с европейските директиви в областта на питейните и отпадъчните води;</w:t>
      </w:r>
    </w:p>
    <w:p w:rsidR="001126A5" w:rsidRPr="001126A5" w:rsidRDefault="001126A5" w:rsidP="00ED46CF">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Повишаване ефективността на инвестициите чрез планиране на регионално ниво;</w:t>
      </w:r>
    </w:p>
    <w:p w:rsidR="001126A5" w:rsidRPr="001126A5" w:rsidRDefault="001126A5" w:rsidP="00ED46CF">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 xml:space="preserve">Повишаване ефективността при предоставяне на „ВиК“ услугите; </w:t>
      </w:r>
    </w:p>
    <w:p w:rsidR="001126A5" w:rsidRPr="001126A5" w:rsidRDefault="001126A5" w:rsidP="00ED46CF">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Рехабилитация и реконструкция на съществуващите водоснабдителни системи за питейна вода;</w:t>
      </w:r>
    </w:p>
    <w:p w:rsidR="001126A5" w:rsidRPr="001126A5" w:rsidRDefault="001126A5" w:rsidP="00ED46CF">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Подобряване на качеството на питейната вода;</w:t>
      </w:r>
    </w:p>
    <w:p w:rsidR="001126A5" w:rsidRPr="001126A5" w:rsidRDefault="001126A5" w:rsidP="00ED46CF">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Отвеждане на отпадъчните води от населените места и пречистването им;</w:t>
      </w:r>
    </w:p>
    <w:p w:rsidR="001126A5" w:rsidRPr="001126A5" w:rsidRDefault="001126A5" w:rsidP="00ED46CF">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 xml:space="preserve">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w:t>
      </w:r>
      <w:r w:rsidRPr="001126A5">
        <w:rPr>
          <w:rFonts w:ascii="Times New Roman" w:hAnsi="Times New Roman" w:cs="Times New Roman"/>
          <w:color w:val="000000"/>
        </w:rPr>
        <w:lastRenderedPageBreak/>
        <w:t>изграждане, ползване и опазване на хармонична и достъпна среда за живеене, труд и отдих, опазване на околната среда и културно-историческото наследство;</w:t>
      </w:r>
    </w:p>
    <w:p w:rsidR="001126A5" w:rsidRP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Създаване на устройствена основа за изграждането на обекти с национално значение/национални обекти, за обекти с обхват повече от една област и обекти на транспортната техническа инфраструктура;</w:t>
      </w:r>
    </w:p>
    <w:p w:rsidR="001126A5" w:rsidRP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Усъвършенстване на нормативната уредба в сферата на устройството на територията и  изграждането и поддържане на техническата инфраструктура и геозащитата;</w:t>
      </w:r>
    </w:p>
    <w:p w:rsidR="001126A5" w:rsidRDefault="001126A5" w:rsidP="00A10F5E">
      <w:pPr>
        <w:pStyle w:val="ListParagraph"/>
        <w:numPr>
          <w:ilvl w:val="0"/>
          <w:numId w:val="34"/>
        </w:numPr>
        <w:tabs>
          <w:tab w:val="left" w:pos="709"/>
          <w:tab w:val="left" w:pos="851"/>
        </w:tabs>
        <w:spacing w:after="0" w:line="240" w:lineRule="auto"/>
        <w:ind w:left="0" w:firstLine="567"/>
        <w:jc w:val="both"/>
        <w:rPr>
          <w:rFonts w:ascii="Times New Roman" w:hAnsi="Times New Roman" w:cs="Times New Roman"/>
          <w:color w:val="000000"/>
        </w:rPr>
      </w:pPr>
      <w:r w:rsidRPr="001126A5">
        <w:rPr>
          <w:rFonts w:ascii="Times New Roman" w:hAnsi="Times New Roman" w:cs="Times New Roman"/>
          <w:color w:val="000000"/>
        </w:rPr>
        <w:t xml:space="preserve">Усъвършенстване на административно-териториалното устройство на страната, укрепване на местното самоуправление и стимулиране на процеса на децентрализация на основата на достигнатите правни стандарти на Съвета на Европа, включително ефективно прилагане на Стратегията за иновации и добро управление на </w:t>
      </w:r>
      <w:r w:rsidR="0029525B">
        <w:rPr>
          <w:rFonts w:ascii="Times New Roman" w:hAnsi="Times New Roman" w:cs="Times New Roman"/>
          <w:color w:val="000000"/>
        </w:rPr>
        <w:t>местно ниво на Съвета на Европа;</w:t>
      </w:r>
    </w:p>
    <w:p w:rsidR="0029525B" w:rsidRPr="0029525B" w:rsidRDefault="0029525B" w:rsidP="0029525B">
      <w:pPr>
        <w:pStyle w:val="ListParagraph"/>
        <w:numPr>
          <w:ilvl w:val="0"/>
          <w:numId w:val="34"/>
        </w:numPr>
        <w:spacing w:after="0" w:line="240" w:lineRule="auto"/>
        <w:ind w:left="0" w:firstLine="567"/>
        <w:jc w:val="both"/>
        <w:rPr>
          <w:rFonts w:ascii="Times New Roman" w:hAnsi="Times New Roman" w:cs="Times New Roman"/>
          <w:color w:val="000000"/>
        </w:rPr>
      </w:pPr>
      <w:r w:rsidRPr="0029525B">
        <w:rPr>
          <w:rFonts w:ascii="Times New Roman" w:hAnsi="Times New Roman" w:cs="Times New Roman"/>
          <w:color w:val="000000"/>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rsidR="0029525B" w:rsidRPr="0029525B" w:rsidRDefault="0029525B" w:rsidP="0029525B">
      <w:pPr>
        <w:pStyle w:val="ListParagraph"/>
        <w:numPr>
          <w:ilvl w:val="0"/>
          <w:numId w:val="34"/>
        </w:numPr>
        <w:spacing w:after="0" w:line="240" w:lineRule="auto"/>
        <w:ind w:left="0" w:firstLine="567"/>
        <w:jc w:val="both"/>
        <w:rPr>
          <w:rFonts w:ascii="Times New Roman" w:hAnsi="Times New Roman" w:cs="Times New Roman"/>
          <w:color w:val="000000"/>
        </w:rPr>
      </w:pPr>
      <w:r w:rsidRPr="0029525B">
        <w:rPr>
          <w:rFonts w:ascii="Times New Roman" w:hAnsi="Times New Roman" w:cs="Times New Roman"/>
          <w:color w:val="000000"/>
        </w:rPr>
        <w:t xml:space="preserve">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w:t>
      </w:r>
    </w:p>
    <w:p w:rsidR="0029525B" w:rsidRPr="0029525B" w:rsidRDefault="0029525B" w:rsidP="0029525B">
      <w:pPr>
        <w:pStyle w:val="ListParagraph"/>
        <w:numPr>
          <w:ilvl w:val="0"/>
          <w:numId w:val="34"/>
        </w:numPr>
        <w:spacing w:after="0" w:line="240" w:lineRule="auto"/>
        <w:ind w:left="0" w:firstLine="567"/>
        <w:jc w:val="both"/>
        <w:rPr>
          <w:rFonts w:ascii="Times New Roman" w:hAnsi="Times New Roman" w:cs="Times New Roman"/>
          <w:color w:val="000000"/>
        </w:rPr>
      </w:pPr>
      <w:r w:rsidRPr="0029525B">
        <w:rPr>
          <w:rFonts w:ascii="Times New Roman" w:hAnsi="Times New Roman" w:cs="Times New Roman"/>
          <w:color w:val="000000"/>
        </w:rPr>
        <w:t>Създаване на условия за влагане в строежите на строителни продукти, осигуряващи изпълнението на основните изисквания към строежите, чрез управление на националната система за оценяване на строителните продукти и определяне на национални изисквания за тяхната употреба;</w:t>
      </w:r>
    </w:p>
    <w:p w:rsidR="0029525B" w:rsidRPr="0029525B" w:rsidRDefault="0029525B" w:rsidP="0029525B">
      <w:pPr>
        <w:pStyle w:val="ListParagraph"/>
        <w:numPr>
          <w:ilvl w:val="0"/>
          <w:numId w:val="34"/>
        </w:numPr>
        <w:spacing w:after="0" w:line="240" w:lineRule="auto"/>
        <w:ind w:left="0" w:firstLine="567"/>
        <w:jc w:val="both"/>
        <w:rPr>
          <w:rFonts w:ascii="Times New Roman" w:hAnsi="Times New Roman" w:cs="Times New Roman"/>
          <w:color w:val="000000"/>
        </w:rPr>
      </w:pPr>
      <w:r w:rsidRPr="0029525B">
        <w:rPr>
          <w:rFonts w:ascii="Times New Roman" w:hAnsi="Times New Roman" w:cs="Times New Roman"/>
          <w:color w:val="000000"/>
        </w:rPr>
        <w:t xml:space="preserve">Осигуряване и управление на система за оправомощаване и ефективен контрол върху дейността на лицата, извършващи оценяване на строителните продукти; </w:t>
      </w:r>
    </w:p>
    <w:p w:rsidR="0029525B" w:rsidRPr="0029525B" w:rsidRDefault="0029525B" w:rsidP="0029525B">
      <w:pPr>
        <w:pStyle w:val="ListParagraph"/>
        <w:numPr>
          <w:ilvl w:val="0"/>
          <w:numId w:val="34"/>
        </w:numPr>
        <w:spacing w:after="0" w:line="240" w:lineRule="auto"/>
        <w:ind w:left="0" w:firstLine="567"/>
        <w:jc w:val="both"/>
        <w:rPr>
          <w:rFonts w:ascii="Times New Roman" w:hAnsi="Times New Roman" w:cs="Times New Roman"/>
          <w:color w:val="000000"/>
        </w:rPr>
      </w:pPr>
      <w:r w:rsidRPr="0029525B">
        <w:rPr>
          <w:rFonts w:ascii="Times New Roman" w:hAnsi="Times New Roman" w:cs="Times New Roman"/>
          <w:color w:val="000000"/>
        </w:rPr>
        <w:t>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влагане в строежите на Република България.</w:t>
      </w:r>
    </w:p>
    <w:p w:rsidR="0029525B" w:rsidRPr="0029525B" w:rsidRDefault="0029525B" w:rsidP="0029525B">
      <w:pPr>
        <w:pStyle w:val="ListParagraph"/>
        <w:numPr>
          <w:ilvl w:val="0"/>
          <w:numId w:val="34"/>
        </w:numPr>
        <w:spacing w:after="0" w:line="240" w:lineRule="auto"/>
        <w:ind w:left="0" w:firstLine="567"/>
        <w:jc w:val="both"/>
        <w:rPr>
          <w:rFonts w:ascii="Times New Roman" w:hAnsi="Times New Roman" w:cs="Times New Roman"/>
          <w:color w:val="000000"/>
        </w:rPr>
      </w:pPr>
      <w:r w:rsidRPr="0029525B">
        <w:rPr>
          <w:rFonts w:ascii="Times New Roman" w:hAnsi="Times New Roman" w:cs="Times New Roman"/>
          <w:color w:val="000000"/>
        </w:rPr>
        <w:t>Осигуряване на актуална информация за националните изисквания към строителните продукти в зависимост от предвидената им употреба;</w:t>
      </w:r>
    </w:p>
    <w:p w:rsidR="0029525B" w:rsidRPr="0029525B" w:rsidRDefault="0029525B" w:rsidP="0029525B">
      <w:pPr>
        <w:pStyle w:val="ListParagraph"/>
        <w:numPr>
          <w:ilvl w:val="0"/>
          <w:numId w:val="34"/>
        </w:numPr>
        <w:spacing w:after="0" w:line="240" w:lineRule="auto"/>
        <w:ind w:left="0" w:firstLine="567"/>
        <w:jc w:val="both"/>
        <w:rPr>
          <w:rFonts w:ascii="Times New Roman" w:hAnsi="Times New Roman" w:cs="Times New Roman"/>
          <w:color w:val="000000"/>
        </w:rPr>
      </w:pPr>
      <w:r w:rsidRPr="0029525B">
        <w:rPr>
          <w:rFonts w:ascii="Times New Roman" w:hAnsi="Times New Roman" w:cs="Times New Roman"/>
          <w:color w:val="000000"/>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r>
        <w:rPr>
          <w:rFonts w:ascii="Times New Roman" w:hAnsi="Times New Roman" w:cs="Times New Roman"/>
          <w:color w:val="000000"/>
        </w:rPr>
        <w:t>.</w:t>
      </w:r>
    </w:p>
    <w:p w:rsidR="00C460C8" w:rsidRPr="00CD19BF" w:rsidRDefault="00C460C8" w:rsidP="00A10F5E">
      <w:pPr>
        <w:pStyle w:val="ListParagraph"/>
        <w:tabs>
          <w:tab w:val="left" w:pos="851"/>
        </w:tabs>
        <w:spacing w:after="0" w:line="240" w:lineRule="auto"/>
        <w:ind w:left="567"/>
        <w:jc w:val="both"/>
        <w:rPr>
          <w:rFonts w:ascii="Times New Roman" w:hAnsi="Times New Roman" w:cs="Times New Roman"/>
          <w:color w:val="000000"/>
          <w:sz w:val="14"/>
          <w:lang w:val="en-US"/>
        </w:rPr>
      </w:pPr>
    </w:p>
    <w:p w:rsidR="00135D80" w:rsidRPr="0025354B" w:rsidRDefault="006B2804" w:rsidP="00A10F5E">
      <w:pPr>
        <w:pStyle w:val="ListParagraph"/>
        <w:numPr>
          <w:ilvl w:val="0"/>
          <w:numId w:val="1"/>
        </w:numPr>
        <w:spacing w:after="0" w:line="240" w:lineRule="auto"/>
        <w:ind w:left="0" w:firstLine="567"/>
        <w:jc w:val="both"/>
        <w:rPr>
          <w:rFonts w:ascii="Times New Roman" w:hAnsi="Times New Roman" w:cs="Times New Roman"/>
          <w:b/>
          <w:i/>
          <w:color w:val="0000CC"/>
        </w:rPr>
      </w:pPr>
      <w:r w:rsidRPr="0025354B">
        <w:rPr>
          <w:rFonts w:ascii="Times New Roman" w:hAnsi="Times New Roman" w:cs="Times New Roman"/>
          <w:b/>
          <w:i/>
          <w:color w:val="0000CC"/>
        </w:rPr>
        <w:t>Отговорност за разпределението на публичните разходи за политиката</w:t>
      </w:r>
    </w:p>
    <w:p w:rsidR="00135D80" w:rsidRPr="0025354B" w:rsidRDefault="00135D80" w:rsidP="00A10F5E">
      <w:pPr>
        <w:pStyle w:val="ListParagraph"/>
        <w:numPr>
          <w:ilvl w:val="0"/>
          <w:numId w:val="4"/>
        </w:numPr>
        <w:spacing w:after="0" w:line="240" w:lineRule="auto"/>
        <w:ind w:left="1134" w:firstLine="0"/>
        <w:jc w:val="both"/>
        <w:rPr>
          <w:rFonts w:ascii="Times New Roman" w:hAnsi="Times New Roman" w:cs="Times New Roman"/>
          <w:b/>
          <w:i/>
          <w:color w:val="0000CC"/>
        </w:rPr>
      </w:pPr>
      <w:r w:rsidRPr="0025354B">
        <w:rPr>
          <w:rFonts w:ascii="Times New Roman" w:hAnsi="Times New Roman" w:cs="Times New Roman"/>
          <w:b/>
          <w:i/>
          <w:color w:val="0000CC"/>
        </w:rPr>
        <w:t>Консолидирани разходи по политиката, които ПРБ разходва пряко чрез бюджета и отговаря за разпределението/разчитането на разходи по други бюджети и ССЕС</w:t>
      </w:r>
    </w:p>
    <w:p w:rsidR="00AA08F4" w:rsidRDefault="00AA08F4" w:rsidP="00A10F5E">
      <w:pPr>
        <w:pStyle w:val="ListParagraph"/>
        <w:tabs>
          <w:tab w:val="left" w:pos="851"/>
        </w:tabs>
        <w:spacing w:after="0" w:line="240" w:lineRule="auto"/>
        <w:jc w:val="both"/>
        <w:rPr>
          <w:rFonts w:ascii="Times New Roman" w:hAnsi="Times New Roman" w:cs="Times New Roman"/>
          <w:b/>
          <w:i/>
        </w:rPr>
      </w:pPr>
    </w:p>
    <w:tbl>
      <w:tblPr>
        <w:tblW w:w="9657" w:type="dxa"/>
        <w:tblInd w:w="75" w:type="dxa"/>
        <w:tblCellMar>
          <w:left w:w="70" w:type="dxa"/>
          <w:right w:w="70" w:type="dxa"/>
        </w:tblCellMar>
        <w:tblLook w:val="04A0" w:firstRow="1" w:lastRow="0" w:firstColumn="1" w:lastColumn="0" w:noHBand="0" w:noVBand="1"/>
      </w:tblPr>
      <w:tblGrid>
        <w:gridCol w:w="3397"/>
        <w:gridCol w:w="1560"/>
        <w:gridCol w:w="1420"/>
        <w:gridCol w:w="1600"/>
        <w:gridCol w:w="1680"/>
      </w:tblGrid>
      <w:tr w:rsidR="002F5A10" w:rsidRPr="002F5A10" w:rsidTr="002F5A10">
        <w:trPr>
          <w:trHeight w:val="480"/>
        </w:trPr>
        <w:tc>
          <w:tcPr>
            <w:tcW w:w="3397"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2F5A10" w:rsidRPr="002F5A10" w:rsidRDefault="002F5A10" w:rsidP="002F5A10">
            <w:pPr>
              <w:spacing w:after="0" w:line="240" w:lineRule="auto"/>
              <w:jc w:val="center"/>
              <w:rPr>
                <w:rFonts w:ascii="Times New Roman" w:eastAsia="Times New Roman" w:hAnsi="Times New Roman" w:cs="Times New Roman"/>
                <w:b/>
                <w:bCs/>
                <w:i/>
                <w:iCs/>
                <w:color w:val="000000"/>
                <w:sz w:val="18"/>
                <w:szCs w:val="18"/>
                <w:lang w:eastAsia="bg-BG"/>
              </w:rPr>
            </w:pPr>
            <w:r w:rsidRPr="002F5A10">
              <w:rPr>
                <w:rFonts w:ascii="Times New Roman" w:eastAsia="Times New Roman" w:hAnsi="Times New Roman" w:cs="Times New Roman"/>
                <w:b/>
                <w:bCs/>
                <w:i/>
                <w:iCs/>
                <w:color w:val="000000"/>
                <w:sz w:val="18"/>
                <w:szCs w:val="18"/>
                <w:lang w:eastAsia="bg-BG"/>
              </w:rPr>
              <w:t>Област на политика (в хил.</w:t>
            </w:r>
            <w:r w:rsidR="00F358E4">
              <w:rPr>
                <w:rFonts w:ascii="Times New Roman" w:eastAsia="Times New Roman" w:hAnsi="Times New Roman" w:cs="Times New Roman"/>
                <w:b/>
                <w:bCs/>
                <w:i/>
                <w:iCs/>
                <w:color w:val="000000"/>
                <w:sz w:val="18"/>
                <w:szCs w:val="18"/>
                <w:lang w:eastAsia="bg-BG"/>
              </w:rPr>
              <w:t xml:space="preserve"> </w:t>
            </w:r>
            <w:r w:rsidRPr="002F5A10">
              <w:rPr>
                <w:rFonts w:ascii="Times New Roman" w:eastAsia="Times New Roman" w:hAnsi="Times New Roman" w:cs="Times New Roman"/>
                <w:b/>
                <w:bCs/>
                <w:i/>
                <w:iCs/>
                <w:color w:val="000000"/>
                <w:sz w:val="18"/>
                <w:szCs w:val="18"/>
                <w:lang w:eastAsia="bg-BG"/>
              </w:rPr>
              <w:t>лв.)</w:t>
            </w:r>
          </w:p>
        </w:tc>
        <w:tc>
          <w:tcPr>
            <w:tcW w:w="1560" w:type="dxa"/>
            <w:tcBorders>
              <w:top w:val="single" w:sz="4" w:space="0" w:color="auto"/>
              <w:left w:val="nil"/>
              <w:bottom w:val="single" w:sz="4" w:space="0" w:color="auto"/>
              <w:right w:val="single" w:sz="4" w:space="0" w:color="auto"/>
            </w:tcBorders>
            <w:shd w:val="clear" w:color="000000" w:fill="FCD5B4"/>
            <w:vAlign w:val="center"/>
            <w:hideMark/>
          </w:tcPr>
          <w:p w:rsidR="002F5A10" w:rsidRPr="002F5A10" w:rsidRDefault="002F5A10" w:rsidP="002F5A10">
            <w:pPr>
              <w:spacing w:after="0" w:line="240" w:lineRule="auto"/>
              <w:jc w:val="center"/>
              <w:rPr>
                <w:rFonts w:ascii="Times New Roman" w:eastAsia="Times New Roman" w:hAnsi="Times New Roman" w:cs="Times New Roman"/>
                <w:b/>
                <w:bCs/>
                <w:i/>
                <w:iCs/>
                <w:color w:val="000000"/>
                <w:sz w:val="18"/>
                <w:szCs w:val="18"/>
                <w:lang w:eastAsia="bg-BG"/>
              </w:rPr>
            </w:pPr>
            <w:r w:rsidRPr="002F5A10">
              <w:rPr>
                <w:rFonts w:ascii="Times New Roman" w:eastAsia="Times New Roman" w:hAnsi="Times New Roman" w:cs="Times New Roman"/>
                <w:b/>
                <w:bCs/>
                <w:i/>
                <w:iCs/>
                <w:color w:val="000000"/>
                <w:sz w:val="18"/>
                <w:szCs w:val="18"/>
                <w:lang w:eastAsia="bg-BG"/>
              </w:rPr>
              <w:t> </w:t>
            </w:r>
          </w:p>
        </w:tc>
        <w:tc>
          <w:tcPr>
            <w:tcW w:w="1420" w:type="dxa"/>
            <w:tcBorders>
              <w:top w:val="single" w:sz="4" w:space="0" w:color="auto"/>
              <w:left w:val="nil"/>
              <w:bottom w:val="single" w:sz="4" w:space="0" w:color="auto"/>
              <w:right w:val="single" w:sz="4" w:space="0" w:color="auto"/>
            </w:tcBorders>
            <w:shd w:val="clear" w:color="000000" w:fill="FCD5B4"/>
            <w:vAlign w:val="center"/>
            <w:hideMark/>
          </w:tcPr>
          <w:p w:rsidR="002F5A10" w:rsidRPr="002F5A10" w:rsidRDefault="002F5A10" w:rsidP="002F5A10">
            <w:pPr>
              <w:spacing w:after="0" w:line="240" w:lineRule="auto"/>
              <w:jc w:val="center"/>
              <w:rPr>
                <w:rFonts w:ascii="Times New Roman" w:eastAsia="Times New Roman" w:hAnsi="Times New Roman" w:cs="Times New Roman"/>
                <w:b/>
                <w:bCs/>
                <w:i/>
                <w:iCs/>
                <w:color w:val="000000"/>
                <w:sz w:val="18"/>
                <w:szCs w:val="18"/>
                <w:lang w:eastAsia="bg-BG"/>
              </w:rPr>
            </w:pPr>
            <w:r w:rsidRPr="002F5A10">
              <w:rPr>
                <w:rFonts w:ascii="Times New Roman" w:eastAsia="Times New Roman" w:hAnsi="Times New Roman" w:cs="Times New Roman"/>
                <w:b/>
                <w:bCs/>
                <w:i/>
                <w:iCs/>
                <w:color w:val="000000"/>
                <w:sz w:val="18"/>
                <w:szCs w:val="18"/>
                <w:lang w:eastAsia="bg-BG"/>
              </w:rPr>
              <w:t>Общо разходи</w:t>
            </w:r>
          </w:p>
        </w:tc>
        <w:tc>
          <w:tcPr>
            <w:tcW w:w="1600" w:type="dxa"/>
            <w:tcBorders>
              <w:top w:val="single" w:sz="4" w:space="0" w:color="auto"/>
              <w:left w:val="nil"/>
              <w:bottom w:val="single" w:sz="4" w:space="0" w:color="auto"/>
              <w:right w:val="single" w:sz="4" w:space="0" w:color="auto"/>
            </w:tcBorders>
            <w:shd w:val="clear" w:color="000000" w:fill="FCD5B4"/>
            <w:vAlign w:val="center"/>
            <w:hideMark/>
          </w:tcPr>
          <w:p w:rsidR="002F5A10" w:rsidRPr="002F5A10" w:rsidRDefault="002F5A10" w:rsidP="002F5A10">
            <w:pPr>
              <w:spacing w:after="0" w:line="240" w:lineRule="auto"/>
              <w:jc w:val="center"/>
              <w:rPr>
                <w:rFonts w:ascii="Times New Roman" w:eastAsia="Times New Roman" w:hAnsi="Times New Roman" w:cs="Times New Roman"/>
                <w:b/>
                <w:bCs/>
                <w:i/>
                <w:iCs/>
                <w:color w:val="000000"/>
                <w:sz w:val="18"/>
                <w:szCs w:val="18"/>
                <w:lang w:eastAsia="bg-BG"/>
              </w:rPr>
            </w:pPr>
            <w:r w:rsidRPr="002F5A10">
              <w:rPr>
                <w:rFonts w:ascii="Times New Roman" w:eastAsia="Times New Roman" w:hAnsi="Times New Roman" w:cs="Times New Roman"/>
                <w:b/>
                <w:bCs/>
                <w:i/>
                <w:iCs/>
                <w:color w:val="000000"/>
                <w:sz w:val="18"/>
                <w:szCs w:val="18"/>
                <w:lang w:eastAsia="bg-BG"/>
              </w:rPr>
              <w:t>По бюджета на ПРБ</w:t>
            </w:r>
          </w:p>
        </w:tc>
        <w:tc>
          <w:tcPr>
            <w:tcW w:w="1680" w:type="dxa"/>
            <w:tcBorders>
              <w:top w:val="single" w:sz="4" w:space="0" w:color="auto"/>
              <w:left w:val="nil"/>
              <w:bottom w:val="single" w:sz="4" w:space="0" w:color="auto"/>
              <w:right w:val="single" w:sz="4" w:space="0" w:color="auto"/>
            </w:tcBorders>
            <w:shd w:val="clear" w:color="000000" w:fill="FCD5B4"/>
            <w:vAlign w:val="center"/>
            <w:hideMark/>
          </w:tcPr>
          <w:p w:rsidR="002F5A10" w:rsidRPr="002F5A10" w:rsidRDefault="002F5A10" w:rsidP="002F5A10">
            <w:pPr>
              <w:spacing w:after="0" w:line="240" w:lineRule="auto"/>
              <w:jc w:val="center"/>
              <w:rPr>
                <w:rFonts w:ascii="Times New Roman" w:eastAsia="Times New Roman" w:hAnsi="Times New Roman" w:cs="Times New Roman"/>
                <w:b/>
                <w:bCs/>
                <w:i/>
                <w:iCs/>
                <w:color w:val="000000"/>
                <w:sz w:val="18"/>
                <w:szCs w:val="18"/>
                <w:lang w:eastAsia="bg-BG"/>
              </w:rPr>
            </w:pPr>
            <w:r w:rsidRPr="002F5A10">
              <w:rPr>
                <w:rFonts w:ascii="Times New Roman" w:eastAsia="Times New Roman" w:hAnsi="Times New Roman" w:cs="Times New Roman"/>
                <w:b/>
                <w:bCs/>
                <w:i/>
                <w:iCs/>
                <w:color w:val="000000"/>
                <w:sz w:val="18"/>
                <w:szCs w:val="18"/>
                <w:lang w:eastAsia="bg-BG"/>
              </w:rPr>
              <w:t>По други бюджети и сметки за СЕС</w:t>
            </w:r>
          </w:p>
        </w:tc>
      </w:tr>
      <w:tr w:rsidR="002F5A10" w:rsidRPr="002F5A10" w:rsidTr="002F5A10">
        <w:trPr>
          <w:trHeight w:val="390"/>
        </w:trPr>
        <w:tc>
          <w:tcPr>
            <w:tcW w:w="3397" w:type="dxa"/>
            <w:vMerge w:val="restart"/>
            <w:tcBorders>
              <w:top w:val="nil"/>
              <w:left w:val="single" w:sz="4" w:space="0" w:color="auto"/>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rPr>
                <w:rFonts w:ascii="Times New Roman" w:eastAsia="Times New Roman" w:hAnsi="Times New Roman" w:cs="Times New Roman"/>
                <w:color w:val="000000"/>
                <w:sz w:val="18"/>
                <w:szCs w:val="18"/>
                <w:lang w:eastAsia="bg-BG"/>
              </w:rPr>
            </w:pPr>
            <w:r w:rsidRPr="002F5A10">
              <w:rPr>
                <w:rFonts w:ascii="Times New Roman" w:eastAsia="Times New Roman" w:hAnsi="Times New Roman" w:cs="Times New Roman"/>
                <w:color w:val="000000"/>
                <w:sz w:val="18"/>
                <w:szCs w:val="18"/>
                <w:lang w:eastAsia="bg-BG"/>
              </w:rPr>
              <w:t>Политика за подобряване на инвестиционния процес, поддържане, модернизация и изграждане на техническата инфраструктура</w:t>
            </w:r>
          </w:p>
        </w:tc>
        <w:tc>
          <w:tcPr>
            <w:tcW w:w="1560" w:type="dxa"/>
            <w:tcBorders>
              <w:top w:val="nil"/>
              <w:left w:val="nil"/>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jc w:val="center"/>
              <w:rPr>
                <w:rFonts w:ascii="Times New Roman" w:eastAsia="Times New Roman" w:hAnsi="Times New Roman" w:cs="Times New Roman"/>
                <w:i/>
                <w:iCs/>
                <w:color w:val="000000"/>
                <w:sz w:val="18"/>
                <w:szCs w:val="18"/>
                <w:lang w:eastAsia="bg-BG"/>
              </w:rPr>
            </w:pPr>
            <w:r w:rsidRPr="002F5A10">
              <w:rPr>
                <w:rFonts w:ascii="Times New Roman" w:eastAsia="Times New Roman" w:hAnsi="Times New Roman" w:cs="Times New Roman"/>
                <w:i/>
                <w:iCs/>
                <w:color w:val="000000"/>
                <w:sz w:val="18"/>
                <w:szCs w:val="18"/>
                <w:lang w:eastAsia="bg-BG"/>
              </w:rPr>
              <w:t>Проект 2022 г.</w:t>
            </w:r>
          </w:p>
        </w:tc>
        <w:tc>
          <w:tcPr>
            <w:tcW w:w="1420" w:type="dxa"/>
            <w:tcBorders>
              <w:top w:val="nil"/>
              <w:left w:val="nil"/>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jc w:val="center"/>
              <w:rPr>
                <w:rFonts w:ascii="Times New Roman" w:eastAsia="Times New Roman" w:hAnsi="Times New Roman" w:cs="Times New Roman"/>
                <w:color w:val="000000"/>
                <w:sz w:val="18"/>
                <w:szCs w:val="18"/>
                <w:lang w:eastAsia="bg-BG"/>
              </w:rPr>
            </w:pPr>
            <w:r w:rsidRPr="002F5A10">
              <w:rPr>
                <w:rFonts w:ascii="Times New Roman" w:eastAsia="Times New Roman" w:hAnsi="Times New Roman" w:cs="Times New Roman"/>
                <w:color w:val="000000"/>
                <w:sz w:val="18"/>
                <w:szCs w:val="18"/>
                <w:lang w:eastAsia="bg-BG"/>
              </w:rPr>
              <w:t>3 628 706,0</w:t>
            </w:r>
          </w:p>
        </w:tc>
        <w:tc>
          <w:tcPr>
            <w:tcW w:w="1600" w:type="dxa"/>
            <w:tcBorders>
              <w:top w:val="nil"/>
              <w:left w:val="nil"/>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jc w:val="center"/>
              <w:rPr>
                <w:rFonts w:ascii="Times New Roman" w:eastAsia="Times New Roman" w:hAnsi="Times New Roman" w:cs="Times New Roman"/>
                <w:color w:val="000000"/>
                <w:sz w:val="18"/>
                <w:szCs w:val="18"/>
                <w:lang w:eastAsia="bg-BG"/>
              </w:rPr>
            </w:pPr>
            <w:r w:rsidRPr="002F5A10">
              <w:rPr>
                <w:rFonts w:ascii="Times New Roman" w:eastAsia="Times New Roman" w:hAnsi="Times New Roman" w:cs="Times New Roman"/>
                <w:color w:val="000000"/>
                <w:sz w:val="18"/>
                <w:szCs w:val="18"/>
                <w:lang w:eastAsia="bg-BG"/>
              </w:rPr>
              <w:t>2 535 793,1</w:t>
            </w:r>
          </w:p>
        </w:tc>
        <w:tc>
          <w:tcPr>
            <w:tcW w:w="1680" w:type="dxa"/>
            <w:tcBorders>
              <w:top w:val="nil"/>
              <w:left w:val="nil"/>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jc w:val="center"/>
              <w:rPr>
                <w:rFonts w:ascii="Times New Roman" w:eastAsia="Times New Roman" w:hAnsi="Times New Roman" w:cs="Times New Roman"/>
                <w:color w:val="000000"/>
                <w:sz w:val="18"/>
                <w:szCs w:val="18"/>
                <w:lang w:eastAsia="bg-BG"/>
              </w:rPr>
            </w:pPr>
            <w:r w:rsidRPr="002F5A10">
              <w:rPr>
                <w:rFonts w:ascii="Times New Roman" w:eastAsia="Times New Roman" w:hAnsi="Times New Roman" w:cs="Times New Roman"/>
                <w:color w:val="000000"/>
                <w:sz w:val="18"/>
                <w:szCs w:val="18"/>
                <w:lang w:eastAsia="bg-BG"/>
              </w:rPr>
              <w:t>1 092 912,9</w:t>
            </w:r>
          </w:p>
        </w:tc>
      </w:tr>
      <w:tr w:rsidR="002F5A10" w:rsidRPr="002F5A10" w:rsidTr="002F5A10">
        <w:trPr>
          <w:trHeight w:val="390"/>
        </w:trPr>
        <w:tc>
          <w:tcPr>
            <w:tcW w:w="3397" w:type="dxa"/>
            <w:vMerge/>
            <w:tcBorders>
              <w:top w:val="nil"/>
              <w:left w:val="single" w:sz="4" w:space="0" w:color="auto"/>
              <w:bottom w:val="single" w:sz="4" w:space="0" w:color="auto"/>
              <w:right w:val="single" w:sz="4" w:space="0" w:color="auto"/>
            </w:tcBorders>
            <w:vAlign w:val="center"/>
            <w:hideMark/>
          </w:tcPr>
          <w:p w:rsidR="002F5A10" w:rsidRPr="002F5A10" w:rsidRDefault="002F5A10" w:rsidP="002F5A10">
            <w:pPr>
              <w:spacing w:after="0" w:line="240" w:lineRule="auto"/>
              <w:rPr>
                <w:rFonts w:ascii="Times New Roman" w:eastAsia="Times New Roman" w:hAnsi="Times New Roman" w:cs="Times New Roman"/>
                <w:color w:val="000000"/>
                <w:sz w:val="18"/>
                <w:szCs w:val="18"/>
                <w:lang w:eastAsia="bg-BG"/>
              </w:rPr>
            </w:pPr>
          </w:p>
        </w:tc>
        <w:tc>
          <w:tcPr>
            <w:tcW w:w="1560" w:type="dxa"/>
            <w:tcBorders>
              <w:top w:val="nil"/>
              <w:left w:val="nil"/>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jc w:val="center"/>
              <w:rPr>
                <w:rFonts w:ascii="Times New Roman" w:eastAsia="Times New Roman" w:hAnsi="Times New Roman" w:cs="Times New Roman"/>
                <w:i/>
                <w:iCs/>
                <w:color w:val="000000"/>
                <w:sz w:val="18"/>
                <w:szCs w:val="18"/>
                <w:lang w:eastAsia="bg-BG"/>
              </w:rPr>
            </w:pPr>
            <w:r w:rsidRPr="002F5A10">
              <w:rPr>
                <w:rFonts w:ascii="Times New Roman" w:eastAsia="Times New Roman" w:hAnsi="Times New Roman" w:cs="Times New Roman"/>
                <w:i/>
                <w:iCs/>
                <w:color w:val="000000"/>
                <w:sz w:val="18"/>
                <w:szCs w:val="18"/>
                <w:lang w:eastAsia="bg-BG"/>
              </w:rPr>
              <w:t>Прогноза 2023 г.</w:t>
            </w:r>
          </w:p>
        </w:tc>
        <w:tc>
          <w:tcPr>
            <w:tcW w:w="1420" w:type="dxa"/>
            <w:tcBorders>
              <w:top w:val="nil"/>
              <w:left w:val="nil"/>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jc w:val="center"/>
              <w:rPr>
                <w:rFonts w:ascii="Times New Roman" w:eastAsia="Times New Roman" w:hAnsi="Times New Roman" w:cs="Times New Roman"/>
                <w:color w:val="000000"/>
                <w:sz w:val="18"/>
                <w:szCs w:val="18"/>
                <w:lang w:eastAsia="bg-BG"/>
              </w:rPr>
            </w:pPr>
            <w:r w:rsidRPr="002F5A10">
              <w:rPr>
                <w:rFonts w:ascii="Times New Roman" w:eastAsia="Times New Roman" w:hAnsi="Times New Roman" w:cs="Times New Roman"/>
                <w:color w:val="000000"/>
                <w:sz w:val="18"/>
                <w:szCs w:val="18"/>
                <w:lang w:eastAsia="bg-BG"/>
              </w:rPr>
              <w:t>2 649 330,3</w:t>
            </w:r>
          </w:p>
        </w:tc>
        <w:tc>
          <w:tcPr>
            <w:tcW w:w="1600" w:type="dxa"/>
            <w:tcBorders>
              <w:top w:val="nil"/>
              <w:left w:val="nil"/>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jc w:val="center"/>
              <w:rPr>
                <w:rFonts w:ascii="Times New Roman" w:eastAsia="Times New Roman" w:hAnsi="Times New Roman" w:cs="Times New Roman"/>
                <w:color w:val="000000"/>
                <w:sz w:val="18"/>
                <w:szCs w:val="18"/>
                <w:lang w:eastAsia="bg-BG"/>
              </w:rPr>
            </w:pPr>
            <w:r w:rsidRPr="002F5A10">
              <w:rPr>
                <w:rFonts w:ascii="Times New Roman" w:eastAsia="Times New Roman" w:hAnsi="Times New Roman" w:cs="Times New Roman"/>
                <w:color w:val="000000"/>
                <w:sz w:val="18"/>
                <w:szCs w:val="18"/>
                <w:lang w:eastAsia="bg-BG"/>
              </w:rPr>
              <w:t>2 575 357,1</w:t>
            </w:r>
          </w:p>
        </w:tc>
        <w:tc>
          <w:tcPr>
            <w:tcW w:w="1680" w:type="dxa"/>
            <w:tcBorders>
              <w:top w:val="nil"/>
              <w:left w:val="nil"/>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jc w:val="center"/>
              <w:rPr>
                <w:rFonts w:ascii="Times New Roman" w:eastAsia="Times New Roman" w:hAnsi="Times New Roman" w:cs="Times New Roman"/>
                <w:color w:val="000000"/>
                <w:sz w:val="18"/>
                <w:szCs w:val="18"/>
                <w:lang w:eastAsia="bg-BG"/>
              </w:rPr>
            </w:pPr>
            <w:r w:rsidRPr="002F5A10">
              <w:rPr>
                <w:rFonts w:ascii="Times New Roman" w:eastAsia="Times New Roman" w:hAnsi="Times New Roman" w:cs="Times New Roman"/>
                <w:color w:val="000000"/>
                <w:sz w:val="18"/>
                <w:szCs w:val="18"/>
                <w:lang w:eastAsia="bg-BG"/>
              </w:rPr>
              <w:t>73 973,2</w:t>
            </w:r>
          </w:p>
        </w:tc>
      </w:tr>
      <w:tr w:rsidR="002F5A10" w:rsidRPr="002F5A10" w:rsidTr="002F5A10">
        <w:trPr>
          <w:trHeight w:val="390"/>
        </w:trPr>
        <w:tc>
          <w:tcPr>
            <w:tcW w:w="3397" w:type="dxa"/>
            <w:vMerge/>
            <w:tcBorders>
              <w:top w:val="nil"/>
              <w:left w:val="single" w:sz="4" w:space="0" w:color="auto"/>
              <w:bottom w:val="single" w:sz="4" w:space="0" w:color="auto"/>
              <w:right w:val="single" w:sz="4" w:space="0" w:color="auto"/>
            </w:tcBorders>
            <w:vAlign w:val="center"/>
            <w:hideMark/>
          </w:tcPr>
          <w:p w:rsidR="002F5A10" w:rsidRPr="002F5A10" w:rsidRDefault="002F5A10" w:rsidP="002F5A10">
            <w:pPr>
              <w:spacing w:after="0" w:line="240" w:lineRule="auto"/>
              <w:rPr>
                <w:rFonts w:ascii="Times New Roman" w:eastAsia="Times New Roman" w:hAnsi="Times New Roman" w:cs="Times New Roman"/>
                <w:color w:val="000000"/>
                <w:sz w:val="18"/>
                <w:szCs w:val="18"/>
                <w:lang w:eastAsia="bg-BG"/>
              </w:rPr>
            </w:pPr>
          </w:p>
        </w:tc>
        <w:tc>
          <w:tcPr>
            <w:tcW w:w="1560" w:type="dxa"/>
            <w:tcBorders>
              <w:top w:val="nil"/>
              <w:left w:val="nil"/>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jc w:val="center"/>
              <w:rPr>
                <w:rFonts w:ascii="Times New Roman" w:eastAsia="Times New Roman" w:hAnsi="Times New Roman" w:cs="Times New Roman"/>
                <w:i/>
                <w:iCs/>
                <w:color w:val="000000"/>
                <w:sz w:val="18"/>
                <w:szCs w:val="18"/>
                <w:lang w:eastAsia="bg-BG"/>
              </w:rPr>
            </w:pPr>
            <w:r w:rsidRPr="002F5A10">
              <w:rPr>
                <w:rFonts w:ascii="Times New Roman" w:eastAsia="Times New Roman" w:hAnsi="Times New Roman" w:cs="Times New Roman"/>
                <w:i/>
                <w:iCs/>
                <w:color w:val="000000"/>
                <w:sz w:val="18"/>
                <w:szCs w:val="18"/>
                <w:lang w:eastAsia="bg-BG"/>
              </w:rPr>
              <w:t>Прогноза 2024 г.</w:t>
            </w:r>
          </w:p>
        </w:tc>
        <w:tc>
          <w:tcPr>
            <w:tcW w:w="1420" w:type="dxa"/>
            <w:tcBorders>
              <w:top w:val="nil"/>
              <w:left w:val="nil"/>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jc w:val="center"/>
              <w:rPr>
                <w:rFonts w:ascii="Times New Roman" w:eastAsia="Times New Roman" w:hAnsi="Times New Roman" w:cs="Times New Roman"/>
                <w:color w:val="000000"/>
                <w:sz w:val="18"/>
                <w:szCs w:val="18"/>
                <w:lang w:eastAsia="bg-BG"/>
              </w:rPr>
            </w:pPr>
            <w:r w:rsidRPr="002F5A10">
              <w:rPr>
                <w:rFonts w:ascii="Times New Roman" w:eastAsia="Times New Roman" w:hAnsi="Times New Roman" w:cs="Times New Roman"/>
                <w:color w:val="000000"/>
                <w:sz w:val="18"/>
                <w:szCs w:val="18"/>
                <w:lang w:eastAsia="bg-BG"/>
              </w:rPr>
              <w:t>2 642 125,5</w:t>
            </w:r>
          </w:p>
        </w:tc>
        <w:tc>
          <w:tcPr>
            <w:tcW w:w="1600" w:type="dxa"/>
            <w:tcBorders>
              <w:top w:val="nil"/>
              <w:left w:val="nil"/>
              <w:bottom w:val="single" w:sz="4" w:space="0" w:color="auto"/>
              <w:right w:val="single" w:sz="4" w:space="0" w:color="auto"/>
            </w:tcBorders>
            <w:shd w:val="clear" w:color="000000" w:fill="F2F2F2"/>
            <w:vAlign w:val="center"/>
            <w:hideMark/>
          </w:tcPr>
          <w:p w:rsidR="002F5A10" w:rsidRPr="002F5A10" w:rsidRDefault="002F5A10" w:rsidP="002F5A10">
            <w:pPr>
              <w:spacing w:after="0" w:line="240" w:lineRule="auto"/>
              <w:jc w:val="center"/>
              <w:rPr>
                <w:rFonts w:ascii="Times New Roman" w:eastAsia="Times New Roman" w:hAnsi="Times New Roman" w:cs="Times New Roman"/>
                <w:color w:val="000000"/>
                <w:sz w:val="18"/>
                <w:szCs w:val="18"/>
                <w:lang w:eastAsia="bg-BG"/>
              </w:rPr>
            </w:pPr>
            <w:r w:rsidRPr="002F5A10">
              <w:rPr>
                <w:rFonts w:ascii="Times New Roman" w:eastAsia="Times New Roman" w:hAnsi="Times New Roman" w:cs="Times New Roman"/>
                <w:color w:val="000000"/>
                <w:sz w:val="18"/>
                <w:szCs w:val="18"/>
                <w:lang w:eastAsia="bg-BG"/>
              </w:rPr>
              <w:t>2 575 780,1</w:t>
            </w:r>
          </w:p>
        </w:tc>
        <w:tc>
          <w:tcPr>
            <w:tcW w:w="1680" w:type="dxa"/>
            <w:tcBorders>
              <w:top w:val="nil"/>
              <w:left w:val="nil"/>
              <w:bottom w:val="single" w:sz="4" w:space="0" w:color="auto"/>
              <w:right w:val="single" w:sz="4" w:space="0" w:color="auto"/>
            </w:tcBorders>
            <w:shd w:val="clear" w:color="000000" w:fill="FFFFFF"/>
            <w:vAlign w:val="center"/>
            <w:hideMark/>
          </w:tcPr>
          <w:p w:rsidR="002F5A10" w:rsidRPr="002F5A10" w:rsidRDefault="002F5A10" w:rsidP="002F5A10">
            <w:pPr>
              <w:spacing w:after="0" w:line="240" w:lineRule="auto"/>
              <w:jc w:val="center"/>
              <w:rPr>
                <w:rFonts w:ascii="Times New Roman" w:eastAsia="Times New Roman" w:hAnsi="Times New Roman" w:cs="Times New Roman"/>
                <w:color w:val="000000"/>
                <w:sz w:val="18"/>
                <w:szCs w:val="18"/>
                <w:lang w:eastAsia="bg-BG"/>
              </w:rPr>
            </w:pPr>
            <w:r w:rsidRPr="002F5A10">
              <w:rPr>
                <w:rFonts w:ascii="Times New Roman" w:eastAsia="Times New Roman" w:hAnsi="Times New Roman" w:cs="Times New Roman"/>
                <w:color w:val="000000"/>
                <w:sz w:val="18"/>
                <w:szCs w:val="18"/>
                <w:lang w:eastAsia="bg-BG"/>
              </w:rPr>
              <w:t>66 345,4</w:t>
            </w:r>
          </w:p>
        </w:tc>
      </w:tr>
    </w:tbl>
    <w:p w:rsidR="00C22564" w:rsidRDefault="00C22564" w:rsidP="00A10F5E">
      <w:pPr>
        <w:pStyle w:val="ListParagraph"/>
        <w:tabs>
          <w:tab w:val="left" w:pos="851"/>
        </w:tabs>
        <w:spacing w:after="0" w:line="240" w:lineRule="auto"/>
        <w:jc w:val="both"/>
        <w:rPr>
          <w:rFonts w:ascii="Times New Roman" w:hAnsi="Times New Roman" w:cs="Times New Roman"/>
          <w:b/>
          <w:i/>
        </w:rPr>
      </w:pPr>
    </w:p>
    <w:p w:rsidR="00C626ED" w:rsidRDefault="006B2804" w:rsidP="00B57C85">
      <w:pPr>
        <w:pStyle w:val="ListParagraph"/>
        <w:numPr>
          <w:ilvl w:val="0"/>
          <w:numId w:val="1"/>
        </w:numPr>
        <w:spacing w:after="0" w:line="240" w:lineRule="auto"/>
        <w:ind w:firstLine="65"/>
        <w:jc w:val="both"/>
        <w:rPr>
          <w:rFonts w:ascii="Times New Roman" w:hAnsi="Times New Roman" w:cs="Times New Roman"/>
          <w:b/>
          <w:i/>
          <w:color w:val="0000CC"/>
        </w:rPr>
      </w:pPr>
      <w:r w:rsidRPr="00281129">
        <w:rPr>
          <w:rFonts w:ascii="Times New Roman" w:hAnsi="Times New Roman" w:cs="Times New Roman"/>
          <w:b/>
          <w:i/>
          <w:color w:val="0000CC"/>
        </w:rPr>
        <w:t>Ключови индикатори и целеви стойности (попълва се за всяка област на политика)</w:t>
      </w:r>
    </w:p>
    <w:p w:rsidR="001F782D" w:rsidRDefault="001F782D" w:rsidP="001F782D">
      <w:pPr>
        <w:pStyle w:val="ListParagraph"/>
        <w:spacing w:after="0" w:line="240" w:lineRule="auto"/>
        <w:ind w:left="567"/>
        <w:jc w:val="both"/>
        <w:rPr>
          <w:rFonts w:ascii="Times New Roman" w:hAnsi="Times New Roman" w:cs="Times New Roman"/>
          <w:b/>
          <w:i/>
          <w:color w:val="0000CC"/>
        </w:rPr>
      </w:pPr>
    </w:p>
    <w:p w:rsidR="00B84556" w:rsidRDefault="00B84556" w:rsidP="00A10F5E">
      <w:pPr>
        <w:spacing w:after="0" w:line="240" w:lineRule="auto"/>
        <w:rPr>
          <w:rFonts w:ascii="Times New Roman" w:hAnsi="Times New Roman" w:cs="Times New Roman"/>
          <w:b/>
          <w:bCs/>
          <w:sz w:val="16"/>
          <w:szCs w:val="16"/>
        </w:rPr>
      </w:pPr>
      <w:r w:rsidRPr="009A1627">
        <w:rPr>
          <w:rFonts w:ascii="Times New Roman" w:hAnsi="Times New Roman" w:cs="Times New Roman"/>
          <w:b/>
          <w:bCs/>
          <w:sz w:val="16"/>
          <w:szCs w:val="16"/>
        </w:rPr>
        <w:t>КЛЮЧОВИ ИНДИКАТОРИ ЗА ИЗПЪЛНЕНИЕ И ЦЕЛЕВИ СТОЙНОСТИ</w:t>
      </w:r>
    </w:p>
    <w:tbl>
      <w:tblPr>
        <w:tblStyle w:val="TableGrid1"/>
        <w:tblW w:w="11057"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851"/>
        <w:gridCol w:w="1275"/>
        <w:gridCol w:w="1134"/>
        <w:gridCol w:w="1267"/>
        <w:gridCol w:w="9"/>
        <w:gridCol w:w="1276"/>
      </w:tblGrid>
      <w:tr w:rsidR="002A5BB3" w:rsidRPr="00FB714C" w:rsidTr="000D33E0">
        <w:trPr>
          <w:gridAfter w:val="2"/>
          <w:wAfter w:w="1285" w:type="dxa"/>
          <w:trHeight w:val="566"/>
        </w:trPr>
        <w:tc>
          <w:tcPr>
            <w:tcW w:w="5245" w:type="dxa"/>
          </w:tcPr>
          <w:p w:rsidR="002A5BB3" w:rsidRPr="00FB714C" w:rsidRDefault="002A5BB3" w:rsidP="00A10F5E">
            <w:pPr>
              <w:jc w:val="center"/>
              <w:rPr>
                <w:rFonts w:ascii="Times New Roman" w:hAnsi="Times New Roman" w:cs="Times New Roman"/>
                <w:i/>
                <w:iCs/>
                <w:sz w:val="20"/>
                <w:szCs w:val="20"/>
              </w:rPr>
            </w:pPr>
            <w:r w:rsidRPr="00FB714C">
              <w:rPr>
                <w:rFonts w:ascii="Times New Roman" w:hAnsi="Times New Roman" w:cs="Times New Roman"/>
                <w:i/>
                <w:iCs/>
                <w:sz w:val="20"/>
                <w:szCs w:val="20"/>
              </w:rPr>
              <w:t>Област на политика:</w:t>
            </w:r>
          </w:p>
          <w:p w:rsidR="002A5BB3" w:rsidRPr="00FB714C" w:rsidRDefault="002A5BB3" w:rsidP="00054216">
            <w:pPr>
              <w:ind w:right="-316"/>
              <w:rPr>
                <w:rFonts w:ascii="Times New Roman" w:hAnsi="Times New Roman" w:cs="Times New Roman"/>
                <w:b/>
                <w:bCs/>
                <w:sz w:val="20"/>
                <w:szCs w:val="20"/>
              </w:rPr>
            </w:pPr>
            <w:r w:rsidRPr="00FB714C">
              <w:rPr>
                <w:rFonts w:ascii="Times New Roman" w:eastAsia="Times New Roman" w:hAnsi="Times New Roman" w:cs="Times New Roman"/>
                <w:color w:val="000000"/>
                <w:sz w:val="20"/>
                <w:szCs w:val="20"/>
                <w:lang w:eastAsia="bg-BG"/>
              </w:rPr>
              <w:lastRenderedPageBreak/>
              <w:t xml:space="preserve">Политика за </w:t>
            </w:r>
            <w:r w:rsidR="00054216">
              <w:rPr>
                <w:rFonts w:ascii="Times New Roman" w:eastAsia="Times New Roman" w:hAnsi="Times New Roman" w:cs="Times New Roman"/>
                <w:color w:val="000000"/>
                <w:sz w:val="20"/>
                <w:szCs w:val="20"/>
                <w:lang w:eastAsia="bg-BG"/>
              </w:rPr>
              <w:t xml:space="preserve">подобряване на инвестиционния процес, </w:t>
            </w:r>
            <w:r w:rsidRPr="00FB714C">
              <w:rPr>
                <w:rFonts w:ascii="Times New Roman" w:eastAsia="Times New Roman" w:hAnsi="Times New Roman" w:cs="Times New Roman"/>
                <w:color w:val="000000"/>
                <w:sz w:val="20"/>
                <w:szCs w:val="20"/>
                <w:lang w:eastAsia="bg-BG"/>
              </w:rPr>
              <w:t xml:space="preserve">поддържане, модернизация и изграждане </w:t>
            </w:r>
            <w:r w:rsidR="00054216">
              <w:rPr>
                <w:rFonts w:ascii="Times New Roman" w:eastAsia="Times New Roman" w:hAnsi="Times New Roman" w:cs="Times New Roman"/>
                <w:color w:val="000000"/>
                <w:sz w:val="20"/>
                <w:szCs w:val="20"/>
                <w:lang w:eastAsia="bg-BG"/>
              </w:rPr>
              <w:t>на техническата инфраструктура</w:t>
            </w:r>
          </w:p>
        </w:tc>
        <w:tc>
          <w:tcPr>
            <w:tcW w:w="851" w:type="dxa"/>
            <w:vMerge w:val="restart"/>
            <w:shd w:val="clear" w:color="auto" w:fill="F2F2F2" w:themeFill="background1" w:themeFillShade="F2"/>
          </w:tcPr>
          <w:p w:rsidR="002A5BB3" w:rsidRPr="00FB714C" w:rsidRDefault="002A5BB3" w:rsidP="00A10F5E">
            <w:pPr>
              <w:jc w:val="center"/>
              <w:rPr>
                <w:rFonts w:ascii="Times New Roman" w:hAnsi="Times New Roman" w:cs="Times New Roman"/>
                <w:b/>
                <w:bCs/>
                <w:sz w:val="20"/>
                <w:szCs w:val="20"/>
              </w:rPr>
            </w:pPr>
            <w:r w:rsidRPr="00FB714C">
              <w:rPr>
                <w:rFonts w:ascii="Times New Roman" w:hAnsi="Times New Roman" w:cs="Times New Roman"/>
                <w:b/>
                <w:bCs/>
                <w:sz w:val="20"/>
                <w:szCs w:val="20"/>
              </w:rPr>
              <w:lastRenderedPageBreak/>
              <w:t>Мерна единица</w:t>
            </w:r>
          </w:p>
        </w:tc>
        <w:tc>
          <w:tcPr>
            <w:tcW w:w="3676" w:type="dxa"/>
            <w:gridSpan w:val="3"/>
            <w:tcBorders>
              <w:top w:val="single" w:sz="4" w:space="0" w:color="auto"/>
              <w:bottom w:val="single" w:sz="4" w:space="0" w:color="auto"/>
            </w:tcBorders>
          </w:tcPr>
          <w:p w:rsidR="002A5BB3" w:rsidRPr="00FB714C" w:rsidRDefault="002A5BB3" w:rsidP="00A10F5E">
            <w:pPr>
              <w:jc w:val="center"/>
              <w:rPr>
                <w:rFonts w:ascii="Times New Roman" w:hAnsi="Times New Roman" w:cs="Times New Roman"/>
                <w:b/>
                <w:bCs/>
                <w:sz w:val="20"/>
                <w:szCs w:val="20"/>
              </w:rPr>
            </w:pPr>
            <w:r w:rsidRPr="00FB714C">
              <w:rPr>
                <w:rFonts w:ascii="Times New Roman" w:hAnsi="Times New Roman" w:cs="Times New Roman"/>
                <w:b/>
                <w:bCs/>
                <w:sz w:val="20"/>
                <w:szCs w:val="20"/>
              </w:rPr>
              <w:t>Целева стойност</w:t>
            </w:r>
          </w:p>
        </w:tc>
      </w:tr>
      <w:tr w:rsidR="002A5BB3" w:rsidRPr="00FB714C" w:rsidTr="000D33E0">
        <w:trPr>
          <w:gridAfter w:val="1"/>
          <w:wAfter w:w="1276" w:type="dxa"/>
          <w:trHeight w:val="115"/>
        </w:trPr>
        <w:tc>
          <w:tcPr>
            <w:tcW w:w="5245" w:type="dxa"/>
            <w:tcBorders>
              <w:bottom w:val="single" w:sz="4" w:space="0" w:color="auto"/>
            </w:tcBorders>
          </w:tcPr>
          <w:p w:rsidR="002A5BB3" w:rsidRPr="00FB714C" w:rsidRDefault="002A5BB3" w:rsidP="00A10F5E">
            <w:pPr>
              <w:jc w:val="center"/>
              <w:rPr>
                <w:rFonts w:ascii="Times New Roman" w:hAnsi="Times New Roman" w:cs="Times New Roman"/>
                <w:b/>
                <w:bCs/>
                <w:sz w:val="20"/>
                <w:szCs w:val="20"/>
              </w:rPr>
            </w:pPr>
            <w:r w:rsidRPr="00FB714C">
              <w:rPr>
                <w:rFonts w:ascii="Times New Roman" w:hAnsi="Times New Roman" w:cs="Times New Roman"/>
                <w:b/>
                <w:bCs/>
                <w:sz w:val="20"/>
                <w:szCs w:val="20"/>
              </w:rPr>
              <w:t>Наименование на индикатора</w:t>
            </w:r>
          </w:p>
        </w:tc>
        <w:tc>
          <w:tcPr>
            <w:tcW w:w="851" w:type="dxa"/>
            <w:vMerge/>
            <w:tcBorders>
              <w:bottom w:val="single" w:sz="4" w:space="0" w:color="auto"/>
            </w:tcBorders>
            <w:shd w:val="clear" w:color="auto" w:fill="F2F2F2" w:themeFill="background1" w:themeFillShade="F2"/>
          </w:tcPr>
          <w:p w:rsidR="002A5BB3" w:rsidRPr="00FB714C" w:rsidRDefault="002A5BB3" w:rsidP="00A10F5E">
            <w:pPr>
              <w:jc w:val="center"/>
              <w:rPr>
                <w:rFonts w:ascii="Times New Roman" w:hAnsi="Times New Roman" w:cs="Times New Roman"/>
                <w:b/>
                <w:bCs/>
                <w:sz w:val="20"/>
                <w:szCs w:val="20"/>
              </w:rPr>
            </w:pPr>
          </w:p>
        </w:tc>
        <w:tc>
          <w:tcPr>
            <w:tcW w:w="1275" w:type="dxa"/>
            <w:tcBorders>
              <w:top w:val="single" w:sz="4" w:space="0" w:color="auto"/>
              <w:bottom w:val="single" w:sz="4" w:space="0" w:color="auto"/>
            </w:tcBorders>
          </w:tcPr>
          <w:p w:rsidR="002A5BB3" w:rsidRPr="00FB714C" w:rsidRDefault="002A5BB3" w:rsidP="00A10F5E">
            <w:pPr>
              <w:jc w:val="center"/>
              <w:rPr>
                <w:rFonts w:ascii="Times New Roman" w:hAnsi="Times New Roman" w:cs="Times New Roman"/>
                <w:b/>
                <w:bCs/>
                <w:i/>
                <w:iCs/>
                <w:sz w:val="20"/>
                <w:szCs w:val="20"/>
              </w:rPr>
            </w:pPr>
            <w:r w:rsidRPr="00FB714C">
              <w:rPr>
                <w:rFonts w:ascii="Times New Roman" w:hAnsi="Times New Roman" w:cs="Times New Roman"/>
                <w:b/>
                <w:bCs/>
                <w:i/>
                <w:iCs/>
                <w:sz w:val="20"/>
                <w:szCs w:val="20"/>
              </w:rPr>
              <w:t>Про</w:t>
            </w:r>
            <w:r w:rsidR="00FE0B47">
              <w:rPr>
                <w:rFonts w:ascii="Times New Roman" w:hAnsi="Times New Roman" w:cs="Times New Roman"/>
                <w:b/>
                <w:bCs/>
                <w:i/>
                <w:iCs/>
                <w:sz w:val="20"/>
                <w:szCs w:val="20"/>
              </w:rPr>
              <w:t>ект</w:t>
            </w:r>
          </w:p>
          <w:p w:rsidR="002A5BB3" w:rsidRPr="00FB714C" w:rsidRDefault="002A5BB3" w:rsidP="00A10F5E">
            <w:pPr>
              <w:jc w:val="center"/>
              <w:rPr>
                <w:rFonts w:ascii="Times New Roman" w:hAnsi="Times New Roman" w:cs="Times New Roman"/>
                <w:b/>
                <w:bCs/>
                <w:sz w:val="20"/>
                <w:szCs w:val="20"/>
              </w:rPr>
            </w:pPr>
            <w:r w:rsidRPr="00FB714C">
              <w:rPr>
                <w:rFonts w:ascii="Times New Roman" w:hAnsi="Times New Roman" w:cs="Times New Roman"/>
                <w:b/>
                <w:bCs/>
                <w:i/>
                <w:iCs/>
                <w:sz w:val="20"/>
                <w:szCs w:val="20"/>
              </w:rPr>
              <w:t>20</w:t>
            </w:r>
            <w:r w:rsidRPr="00FB714C">
              <w:rPr>
                <w:rFonts w:ascii="Times New Roman" w:hAnsi="Times New Roman" w:cs="Times New Roman"/>
                <w:b/>
                <w:bCs/>
                <w:i/>
                <w:iCs/>
                <w:sz w:val="20"/>
                <w:szCs w:val="20"/>
                <w:lang w:val="en-US"/>
              </w:rPr>
              <w:t>2</w:t>
            </w:r>
            <w:r w:rsidR="006F4BDD" w:rsidRPr="00FB714C">
              <w:rPr>
                <w:rFonts w:ascii="Times New Roman" w:hAnsi="Times New Roman" w:cs="Times New Roman"/>
                <w:b/>
                <w:bCs/>
                <w:i/>
                <w:iCs/>
                <w:sz w:val="20"/>
                <w:szCs w:val="20"/>
              </w:rPr>
              <w:t>2</w:t>
            </w:r>
            <w:r w:rsidRPr="00FB714C">
              <w:rPr>
                <w:rFonts w:ascii="Times New Roman" w:hAnsi="Times New Roman" w:cs="Times New Roman"/>
                <w:b/>
                <w:bCs/>
                <w:i/>
                <w:iCs/>
                <w:sz w:val="20"/>
                <w:szCs w:val="20"/>
              </w:rPr>
              <w:t xml:space="preserve"> г.</w:t>
            </w:r>
          </w:p>
        </w:tc>
        <w:tc>
          <w:tcPr>
            <w:tcW w:w="1134" w:type="dxa"/>
            <w:tcBorders>
              <w:top w:val="single" w:sz="4" w:space="0" w:color="auto"/>
              <w:bottom w:val="single" w:sz="4" w:space="0" w:color="auto"/>
            </w:tcBorders>
          </w:tcPr>
          <w:p w:rsidR="002A5BB3" w:rsidRPr="00FB714C" w:rsidRDefault="002A5BB3" w:rsidP="00A10F5E">
            <w:pPr>
              <w:jc w:val="center"/>
              <w:rPr>
                <w:rFonts w:ascii="Times New Roman" w:hAnsi="Times New Roman" w:cs="Times New Roman"/>
                <w:b/>
                <w:bCs/>
                <w:i/>
                <w:iCs/>
                <w:sz w:val="20"/>
                <w:szCs w:val="20"/>
              </w:rPr>
            </w:pPr>
            <w:r w:rsidRPr="00FB714C">
              <w:rPr>
                <w:rFonts w:ascii="Times New Roman" w:hAnsi="Times New Roman" w:cs="Times New Roman"/>
                <w:b/>
                <w:bCs/>
                <w:i/>
                <w:iCs/>
                <w:sz w:val="20"/>
                <w:szCs w:val="20"/>
              </w:rPr>
              <w:t>Прогноза</w:t>
            </w:r>
          </w:p>
          <w:p w:rsidR="002A5BB3" w:rsidRPr="00FB714C" w:rsidRDefault="002A5BB3" w:rsidP="00A10F5E">
            <w:pPr>
              <w:jc w:val="center"/>
              <w:rPr>
                <w:rFonts w:ascii="Times New Roman" w:hAnsi="Times New Roman" w:cs="Times New Roman"/>
                <w:b/>
                <w:bCs/>
                <w:sz w:val="20"/>
                <w:szCs w:val="20"/>
              </w:rPr>
            </w:pPr>
            <w:r w:rsidRPr="00FB714C">
              <w:rPr>
                <w:rFonts w:ascii="Times New Roman" w:hAnsi="Times New Roman" w:cs="Times New Roman"/>
                <w:b/>
                <w:bCs/>
                <w:i/>
                <w:iCs/>
                <w:sz w:val="20"/>
                <w:szCs w:val="20"/>
              </w:rPr>
              <w:t>20</w:t>
            </w:r>
            <w:r w:rsidRPr="00FB714C">
              <w:rPr>
                <w:rFonts w:ascii="Times New Roman" w:hAnsi="Times New Roman" w:cs="Times New Roman"/>
                <w:b/>
                <w:bCs/>
                <w:i/>
                <w:iCs/>
                <w:sz w:val="20"/>
                <w:szCs w:val="20"/>
                <w:lang w:val="en-US"/>
              </w:rPr>
              <w:t>2</w:t>
            </w:r>
            <w:r w:rsidR="006F4BDD" w:rsidRPr="00FB714C">
              <w:rPr>
                <w:rFonts w:ascii="Times New Roman" w:hAnsi="Times New Roman" w:cs="Times New Roman"/>
                <w:b/>
                <w:bCs/>
                <w:i/>
                <w:iCs/>
                <w:sz w:val="20"/>
                <w:szCs w:val="20"/>
              </w:rPr>
              <w:t>3</w:t>
            </w:r>
            <w:r w:rsidRPr="00FB714C">
              <w:rPr>
                <w:rFonts w:ascii="Times New Roman" w:hAnsi="Times New Roman" w:cs="Times New Roman"/>
                <w:b/>
                <w:bCs/>
                <w:i/>
                <w:iCs/>
                <w:sz w:val="20"/>
                <w:szCs w:val="20"/>
              </w:rPr>
              <w:t xml:space="preserve"> г.</w:t>
            </w:r>
          </w:p>
        </w:tc>
        <w:tc>
          <w:tcPr>
            <w:tcW w:w="1276" w:type="dxa"/>
            <w:gridSpan w:val="2"/>
            <w:tcBorders>
              <w:top w:val="single" w:sz="4" w:space="0" w:color="auto"/>
              <w:bottom w:val="single" w:sz="4" w:space="0" w:color="auto"/>
            </w:tcBorders>
          </w:tcPr>
          <w:p w:rsidR="002A5BB3" w:rsidRPr="00FB714C" w:rsidRDefault="002A5BB3" w:rsidP="00A10F5E">
            <w:pPr>
              <w:jc w:val="center"/>
              <w:rPr>
                <w:rFonts w:ascii="Times New Roman" w:hAnsi="Times New Roman" w:cs="Times New Roman"/>
                <w:b/>
                <w:bCs/>
                <w:i/>
                <w:iCs/>
                <w:sz w:val="20"/>
                <w:szCs w:val="20"/>
              </w:rPr>
            </w:pPr>
            <w:r w:rsidRPr="00FB714C">
              <w:rPr>
                <w:rFonts w:ascii="Times New Roman" w:hAnsi="Times New Roman" w:cs="Times New Roman"/>
                <w:b/>
                <w:bCs/>
                <w:i/>
                <w:iCs/>
                <w:sz w:val="20"/>
                <w:szCs w:val="20"/>
              </w:rPr>
              <w:t>Прогноза</w:t>
            </w:r>
          </w:p>
          <w:p w:rsidR="002A5BB3" w:rsidRPr="00FB714C" w:rsidRDefault="002A5BB3" w:rsidP="00A10F5E">
            <w:pPr>
              <w:jc w:val="center"/>
              <w:rPr>
                <w:rFonts w:ascii="Times New Roman" w:hAnsi="Times New Roman" w:cs="Times New Roman"/>
                <w:b/>
                <w:bCs/>
                <w:sz w:val="20"/>
                <w:szCs w:val="20"/>
              </w:rPr>
            </w:pPr>
            <w:r w:rsidRPr="00FB714C">
              <w:rPr>
                <w:rFonts w:ascii="Times New Roman" w:hAnsi="Times New Roman" w:cs="Times New Roman"/>
                <w:b/>
                <w:bCs/>
                <w:i/>
                <w:iCs/>
                <w:sz w:val="20"/>
                <w:szCs w:val="20"/>
              </w:rPr>
              <w:t>20</w:t>
            </w:r>
            <w:r w:rsidRPr="00FB714C">
              <w:rPr>
                <w:rFonts w:ascii="Times New Roman" w:hAnsi="Times New Roman" w:cs="Times New Roman"/>
                <w:b/>
                <w:bCs/>
                <w:i/>
                <w:iCs/>
                <w:sz w:val="20"/>
                <w:szCs w:val="20"/>
                <w:lang w:val="en-US"/>
              </w:rPr>
              <w:t>2</w:t>
            </w:r>
            <w:r w:rsidR="006F4BDD" w:rsidRPr="00FB714C">
              <w:rPr>
                <w:rFonts w:ascii="Times New Roman" w:hAnsi="Times New Roman" w:cs="Times New Roman"/>
                <w:b/>
                <w:bCs/>
                <w:i/>
                <w:iCs/>
                <w:sz w:val="20"/>
                <w:szCs w:val="20"/>
              </w:rPr>
              <w:t>4</w:t>
            </w:r>
            <w:r w:rsidRPr="00FB714C">
              <w:rPr>
                <w:rFonts w:ascii="Times New Roman" w:hAnsi="Times New Roman" w:cs="Times New Roman"/>
                <w:b/>
                <w:bCs/>
                <w:i/>
                <w:iCs/>
                <w:sz w:val="20"/>
                <w:szCs w:val="20"/>
              </w:rPr>
              <w:t xml:space="preserve"> г.</w:t>
            </w:r>
          </w:p>
        </w:tc>
      </w:tr>
      <w:tr w:rsidR="00AA08F4" w:rsidRPr="00FB714C" w:rsidTr="00A10F5E">
        <w:trPr>
          <w:gridAfter w:val="1"/>
          <w:wAfter w:w="1276" w:type="dxa"/>
          <w:trHeight w:val="246"/>
        </w:trPr>
        <w:tc>
          <w:tcPr>
            <w:tcW w:w="5245" w:type="dxa"/>
            <w:tcBorders>
              <w:top w:val="single" w:sz="4" w:space="0" w:color="auto"/>
              <w:bottom w:val="single" w:sz="4" w:space="0" w:color="auto"/>
            </w:tcBorders>
            <w:vAlign w:val="center"/>
          </w:tcPr>
          <w:p w:rsidR="00AA08F4" w:rsidRPr="00FB714C" w:rsidRDefault="00AA08F4" w:rsidP="00A10F5E">
            <w:pPr>
              <w:rPr>
                <w:rFonts w:ascii="Times New Roman" w:hAnsi="Times New Roman" w:cs="Times New Roman"/>
                <w:b/>
                <w:bCs/>
                <w:sz w:val="20"/>
                <w:szCs w:val="20"/>
              </w:rPr>
            </w:pPr>
            <w:r w:rsidRPr="00FB714C">
              <w:rPr>
                <w:rFonts w:ascii="Times New Roman" w:hAnsi="Times New Roman" w:cs="Times New Roman"/>
                <w:sz w:val="20"/>
                <w:szCs w:val="20"/>
              </w:rPr>
              <w:t>1.</w:t>
            </w:r>
            <w:r w:rsidRPr="00FB714C">
              <w:rPr>
                <w:rFonts w:ascii="Times New Roman" w:hAnsi="Times New Roman" w:cs="Times New Roman"/>
                <w:b/>
                <w:sz w:val="20"/>
                <w:szCs w:val="20"/>
              </w:rPr>
              <w:t xml:space="preserve"> </w:t>
            </w:r>
            <w:r w:rsidRPr="00FB714C">
              <w:rPr>
                <w:rFonts w:ascii="Times New Roman" w:hAnsi="Times New Roman" w:cs="Times New Roman"/>
                <w:sz w:val="20"/>
                <w:szCs w:val="20"/>
              </w:rPr>
              <w:t>Подобряване качеството на предоставяната услуга „Водоснабдяване и канализация“, чрез увеличаване броя на жителите, на които се предоставя питейна вода с подобрени качествени показатели и/или на които се осигурява непрекъснатост на водоснабдяването и/или на които се предоставя услугата отвеждане и пречистване на отпадъчните води.</w:t>
            </w:r>
          </w:p>
        </w:tc>
        <w:tc>
          <w:tcPr>
            <w:tcW w:w="851" w:type="dxa"/>
            <w:tcBorders>
              <w:top w:val="single" w:sz="4" w:space="0" w:color="auto"/>
              <w:bottom w:val="single" w:sz="4" w:space="0" w:color="auto"/>
            </w:tcBorders>
            <w:shd w:val="clear" w:color="auto" w:fill="F2F2F2" w:themeFill="background1" w:themeFillShade="F2"/>
            <w:vAlign w:val="center"/>
          </w:tcPr>
          <w:p w:rsidR="00AA08F4" w:rsidRPr="00FB714C" w:rsidRDefault="00AA08F4" w:rsidP="00761082">
            <w:pPr>
              <w:jc w:val="center"/>
              <w:rPr>
                <w:rFonts w:ascii="Times New Roman" w:hAnsi="Times New Roman" w:cs="Times New Roman"/>
                <w:sz w:val="20"/>
                <w:szCs w:val="20"/>
              </w:rPr>
            </w:pPr>
          </w:p>
          <w:p w:rsidR="00AA08F4" w:rsidRPr="00FB714C" w:rsidRDefault="00AA08F4" w:rsidP="00761082">
            <w:pPr>
              <w:jc w:val="center"/>
              <w:rPr>
                <w:rFonts w:ascii="Times New Roman" w:hAnsi="Times New Roman" w:cs="Times New Roman"/>
                <w:sz w:val="20"/>
                <w:szCs w:val="20"/>
              </w:rPr>
            </w:pPr>
            <w:r w:rsidRPr="00FB714C">
              <w:rPr>
                <w:rFonts w:ascii="Times New Roman" w:hAnsi="Times New Roman" w:cs="Times New Roman"/>
                <w:sz w:val="20"/>
                <w:szCs w:val="20"/>
              </w:rPr>
              <w:t>брой</w:t>
            </w:r>
          </w:p>
          <w:p w:rsidR="00AA08F4" w:rsidRPr="00FB714C" w:rsidRDefault="00AA08F4" w:rsidP="00761082">
            <w:pPr>
              <w:jc w:val="center"/>
              <w:rPr>
                <w:rFonts w:ascii="Times New Roman" w:hAnsi="Times New Roman" w:cs="Times New Roman"/>
                <w:b/>
                <w:bCs/>
                <w:sz w:val="20"/>
                <w:szCs w:val="20"/>
                <w:lang w:val="en-US"/>
              </w:rPr>
            </w:pPr>
            <w:r w:rsidRPr="00FB714C">
              <w:rPr>
                <w:rFonts w:ascii="Times New Roman" w:hAnsi="Times New Roman" w:cs="Times New Roman"/>
                <w:sz w:val="20"/>
                <w:szCs w:val="20"/>
              </w:rPr>
              <w:t>жители</w:t>
            </w:r>
          </w:p>
        </w:tc>
        <w:tc>
          <w:tcPr>
            <w:tcW w:w="1275" w:type="dxa"/>
            <w:tcBorders>
              <w:top w:val="single" w:sz="4" w:space="0" w:color="auto"/>
              <w:bottom w:val="single" w:sz="4" w:space="0" w:color="auto"/>
            </w:tcBorders>
            <w:vAlign w:val="center"/>
          </w:tcPr>
          <w:p w:rsidR="00AA08F4" w:rsidRPr="00FB714C" w:rsidRDefault="00AA08F4" w:rsidP="00761082">
            <w:pPr>
              <w:jc w:val="center"/>
              <w:rPr>
                <w:rFonts w:ascii="Times New Roman" w:hAnsi="Times New Roman" w:cs="Times New Roman"/>
                <w:bCs/>
                <w:sz w:val="20"/>
                <w:szCs w:val="20"/>
              </w:rPr>
            </w:pPr>
          </w:p>
          <w:p w:rsidR="00AA08F4" w:rsidRPr="00FB714C" w:rsidRDefault="00AA08F4" w:rsidP="00761082">
            <w:pPr>
              <w:jc w:val="center"/>
              <w:rPr>
                <w:rFonts w:ascii="Times New Roman" w:hAnsi="Times New Roman" w:cs="Times New Roman"/>
                <w:bCs/>
                <w:sz w:val="20"/>
                <w:szCs w:val="20"/>
              </w:rPr>
            </w:pPr>
          </w:p>
          <w:p w:rsidR="00AA08F4" w:rsidRPr="00FB714C" w:rsidRDefault="00642CF6" w:rsidP="00761082">
            <w:pPr>
              <w:jc w:val="center"/>
              <w:rPr>
                <w:rFonts w:ascii="Times New Roman" w:hAnsi="Times New Roman" w:cs="Times New Roman"/>
                <w:bCs/>
                <w:sz w:val="20"/>
                <w:szCs w:val="20"/>
                <w:lang w:val="en-US"/>
              </w:rPr>
            </w:pPr>
            <w:r w:rsidRPr="00FB714C">
              <w:rPr>
                <w:rFonts w:ascii="Times New Roman" w:hAnsi="Times New Roman" w:cs="Times New Roman"/>
                <w:bCs/>
                <w:sz w:val="20"/>
                <w:szCs w:val="20"/>
              </w:rPr>
              <w:t>57</w:t>
            </w:r>
            <w:r w:rsidR="00AA08F4" w:rsidRPr="00FB714C">
              <w:rPr>
                <w:rFonts w:ascii="Times New Roman" w:hAnsi="Times New Roman" w:cs="Times New Roman"/>
                <w:bCs/>
                <w:sz w:val="20"/>
                <w:szCs w:val="20"/>
              </w:rPr>
              <w:t>0</w:t>
            </w:r>
            <w:r w:rsidR="00AA08F4" w:rsidRPr="00FB714C">
              <w:rPr>
                <w:rFonts w:ascii="Times New Roman" w:hAnsi="Times New Roman" w:cs="Times New Roman"/>
                <w:bCs/>
                <w:sz w:val="20"/>
                <w:szCs w:val="20"/>
                <w:lang w:val="en-US"/>
              </w:rPr>
              <w:t xml:space="preserve"> 000</w:t>
            </w:r>
          </w:p>
        </w:tc>
        <w:tc>
          <w:tcPr>
            <w:tcW w:w="1134" w:type="dxa"/>
            <w:tcBorders>
              <w:top w:val="single" w:sz="4" w:space="0" w:color="auto"/>
              <w:bottom w:val="single" w:sz="4" w:space="0" w:color="auto"/>
            </w:tcBorders>
            <w:vAlign w:val="center"/>
          </w:tcPr>
          <w:p w:rsidR="00AA08F4" w:rsidRPr="00FB714C" w:rsidRDefault="00AA08F4" w:rsidP="00761082">
            <w:pPr>
              <w:jc w:val="center"/>
              <w:rPr>
                <w:rFonts w:ascii="Times New Roman" w:hAnsi="Times New Roman" w:cs="Times New Roman"/>
                <w:bCs/>
                <w:sz w:val="20"/>
                <w:szCs w:val="20"/>
              </w:rPr>
            </w:pPr>
          </w:p>
          <w:p w:rsidR="00AA08F4" w:rsidRPr="00FB714C" w:rsidRDefault="00AA08F4" w:rsidP="00761082">
            <w:pPr>
              <w:jc w:val="center"/>
              <w:rPr>
                <w:rFonts w:ascii="Times New Roman" w:hAnsi="Times New Roman" w:cs="Times New Roman"/>
                <w:bCs/>
                <w:sz w:val="20"/>
                <w:szCs w:val="20"/>
              </w:rPr>
            </w:pPr>
          </w:p>
          <w:p w:rsidR="00AA08F4" w:rsidRPr="00FB714C" w:rsidRDefault="00642CF6" w:rsidP="00761082">
            <w:pPr>
              <w:jc w:val="center"/>
              <w:rPr>
                <w:rFonts w:ascii="Times New Roman" w:hAnsi="Times New Roman" w:cs="Times New Roman"/>
                <w:bCs/>
                <w:sz w:val="20"/>
                <w:szCs w:val="20"/>
                <w:lang w:val="en-US"/>
              </w:rPr>
            </w:pPr>
            <w:r w:rsidRPr="00FB714C">
              <w:rPr>
                <w:rFonts w:ascii="Times New Roman" w:hAnsi="Times New Roman" w:cs="Times New Roman"/>
                <w:bCs/>
                <w:sz w:val="20"/>
                <w:szCs w:val="20"/>
              </w:rPr>
              <w:t>57</w:t>
            </w:r>
            <w:r w:rsidR="00AA08F4" w:rsidRPr="00FB714C">
              <w:rPr>
                <w:rFonts w:ascii="Times New Roman" w:hAnsi="Times New Roman" w:cs="Times New Roman"/>
                <w:bCs/>
                <w:sz w:val="20"/>
                <w:szCs w:val="20"/>
              </w:rPr>
              <w:t>0</w:t>
            </w:r>
            <w:r w:rsidR="00AA08F4" w:rsidRPr="00FB714C">
              <w:rPr>
                <w:rFonts w:ascii="Times New Roman" w:hAnsi="Times New Roman" w:cs="Times New Roman"/>
                <w:bCs/>
                <w:sz w:val="20"/>
                <w:szCs w:val="20"/>
                <w:lang w:val="en-US"/>
              </w:rPr>
              <w:t xml:space="preserve"> 000</w:t>
            </w:r>
          </w:p>
        </w:tc>
        <w:tc>
          <w:tcPr>
            <w:tcW w:w="1276" w:type="dxa"/>
            <w:gridSpan w:val="2"/>
            <w:tcBorders>
              <w:top w:val="single" w:sz="4" w:space="0" w:color="auto"/>
              <w:bottom w:val="single" w:sz="4" w:space="0" w:color="auto"/>
            </w:tcBorders>
            <w:vAlign w:val="center"/>
          </w:tcPr>
          <w:p w:rsidR="00AA08F4" w:rsidRPr="00FB714C" w:rsidRDefault="00AA08F4" w:rsidP="00761082">
            <w:pPr>
              <w:jc w:val="center"/>
              <w:rPr>
                <w:rFonts w:ascii="Times New Roman" w:hAnsi="Times New Roman" w:cs="Times New Roman"/>
                <w:b/>
                <w:bCs/>
                <w:sz w:val="20"/>
                <w:szCs w:val="20"/>
              </w:rPr>
            </w:pPr>
          </w:p>
          <w:p w:rsidR="00AA08F4" w:rsidRPr="00FB714C" w:rsidRDefault="00AA08F4" w:rsidP="00761082">
            <w:pPr>
              <w:jc w:val="center"/>
              <w:rPr>
                <w:rFonts w:ascii="Times New Roman" w:hAnsi="Times New Roman" w:cs="Times New Roman"/>
                <w:b/>
                <w:bCs/>
                <w:sz w:val="20"/>
                <w:szCs w:val="20"/>
              </w:rPr>
            </w:pPr>
          </w:p>
          <w:p w:rsidR="00AA08F4" w:rsidRPr="00FB714C" w:rsidRDefault="00642CF6" w:rsidP="00761082">
            <w:pPr>
              <w:jc w:val="center"/>
              <w:rPr>
                <w:rFonts w:ascii="Times New Roman" w:hAnsi="Times New Roman" w:cs="Times New Roman"/>
                <w:bCs/>
                <w:sz w:val="20"/>
                <w:szCs w:val="20"/>
              </w:rPr>
            </w:pPr>
            <w:r w:rsidRPr="00FB714C">
              <w:rPr>
                <w:rFonts w:ascii="Times New Roman" w:hAnsi="Times New Roman" w:cs="Times New Roman"/>
                <w:bCs/>
                <w:sz w:val="20"/>
                <w:szCs w:val="20"/>
              </w:rPr>
              <w:t>57</w:t>
            </w:r>
            <w:r w:rsidR="00AA08F4" w:rsidRPr="00FB714C">
              <w:rPr>
                <w:rFonts w:ascii="Times New Roman" w:hAnsi="Times New Roman" w:cs="Times New Roman"/>
                <w:bCs/>
                <w:sz w:val="20"/>
                <w:szCs w:val="20"/>
              </w:rPr>
              <w:t>0 000</w:t>
            </w:r>
          </w:p>
        </w:tc>
      </w:tr>
      <w:tr w:rsidR="001A53D6" w:rsidRPr="00FB714C" w:rsidTr="00A10F5E">
        <w:trPr>
          <w:gridAfter w:val="1"/>
          <w:wAfter w:w="1276" w:type="dxa"/>
          <w:trHeight w:val="487"/>
        </w:trPr>
        <w:tc>
          <w:tcPr>
            <w:tcW w:w="5245" w:type="dxa"/>
            <w:tcBorders>
              <w:top w:val="single" w:sz="4" w:space="0" w:color="auto"/>
              <w:bottom w:val="single" w:sz="4" w:space="0" w:color="auto"/>
            </w:tcBorders>
            <w:vAlign w:val="center"/>
          </w:tcPr>
          <w:p w:rsidR="001A53D6" w:rsidRPr="00FB714C" w:rsidRDefault="00F26E22" w:rsidP="00A10F5E">
            <w:pPr>
              <w:rPr>
                <w:rFonts w:ascii="Times New Roman" w:hAnsi="Times New Roman" w:cs="Times New Roman"/>
                <w:sz w:val="20"/>
                <w:szCs w:val="20"/>
              </w:rPr>
            </w:pPr>
            <w:r w:rsidRPr="00FB714C">
              <w:rPr>
                <w:rFonts w:ascii="Times New Roman" w:hAnsi="Times New Roman" w:cs="Times New Roman"/>
                <w:sz w:val="20"/>
                <w:szCs w:val="20"/>
              </w:rPr>
              <w:t>2</w:t>
            </w:r>
            <w:r w:rsidR="001A53D6" w:rsidRPr="00FB714C">
              <w:rPr>
                <w:rFonts w:ascii="Times New Roman" w:hAnsi="Times New Roman" w:cs="Times New Roman"/>
                <w:sz w:val="20"/>
                <w:szCs w:val="20"/>
              </w:rPr>
              <w:t>. Решения на Министерския съвет за изменения и допълнения на списък на общинските пътища</w:t>
            </w:r>
          </w:p>
        </w:tc>
        <w:tc>
          <w:tcPr>
            <w:tcW w:w="851" w:type="dxa"/>
            <w:tcBorders>
              <w:top w:val="single" w:sz="4" w:space="0" w:color="auto"/>
              <w:bottom w:val="single" w:sz="4" w:space="0" w:color="auto"/>
            </w:tcBorders>
            <w:shd w:val="clear" w:color="auto" w:fill="F2F2F2" w:themeFill="background1" w:themeFillShade="F2"/>
            <w:vAlign w:val="center"/>
          </w:tcPr>
          <w:p w:rsidR="001A53D6" w:rsidRPr="00FB714C" w:rsidRDefault="00761082" w:rsidP="00761082">
            <w:pPr>
              <w:jc w:val="center"/>
              <w:rPr>
                <w:rFonts w:ascii="Times New Roman" w:hAnsi="Times New Roman" w:cs="Times New Roman"/>
                <w:sz w:val="20"/>
                <w:szCs w:val="20"/>
              </w:rPr>
            </w:pPr>
            <w:r>
              <w:rPr>
                <w:rFonts w:ascii="Times New Roman" w:hAnsi="Times New Roman" w:cs="Times New Roman"/>
                <w:sz w:val="20"/>
                <w:szCs w:val="20"/>
              </w:rPr>
              <w:t>брой</w:t>
            </w:r>
          </w:p>
        </w:tc>
        <w:tc>
          <w:tcPr>
            <w:tcW w:w="1275" w:type="dxa"/>
            <w:tcBorders>
              <w:top w:val="single" w:sz="4" w:space="0" w:color="auto"/>
              <w:bottom w:val="single" w:sz="4" w:space="0" w:color="auto"/>
            </w:tcBorders>
            <w:vAlign w:val="center"/>
          </w:tcPr>
          <w:p w:rsidR="001A53D6" w:rsidRPr="00FB714C" w:rsidRDefault="001A53D6" w:rsidP="00761082">
            <w:pPr>
              <w:jc w:val="center"/>
              <w:rPr>
                <w:rFonts w:ascii="Times New Roman" w:hAnsi="Times New Roman" w:cs="Times New Roman"/>
                <w:color w:val="000000" w:themeColor="text1"/>
                <w:sz w:val="20"/>
                <w:szCs w:val="20"/>
              </w:rPr>
            </w:pPr>
            <w:r w:rsidRPr="00FB714C">
              <w:rPr>
                <w:rFonts w:ascii="Times New Roman" w:hAnsi="Times New Roman" w:cs="Times New Roman"/>
                <w:color w:val="000000" w:themeColor="text1"/>
                <w:sz w:val="20"/>
                <w:szCs w:val="20"/>
              </w:rPr>
              <w:t>1</w:t>
            </w:r>
          </w:p>
        </w:tc>
        <w:tc>
          <w:tcPr>
            <w:tcW w:w="1134" w:type="dxa"/>
            <w:tcBorders>
              <w:top w:val="single" w:sz="4" w:space="0" w:color="auto"/>
              <w:bottom w:val="single" w:sz="4" w:space="0" w:color="auto"/>
            </w:tcBorders>
            <w:vAlign w:val="center"/>
          </w:tcPr>
          <w:p w:rsidR="001A53D6" w:rsidRPr="00FB714C" w:rsidRDefault="001A53D6" w:rsidP="00761082">
            <w:pPr>
              <w:jc w:val="center"/>
              <w:rPr>
                <w:rFonts w:ascii="Times New Roman" w:hAnsi="Times New Roman" w:cs="Times New Roman"/>
                <w:color w:val="000000" w:themeColor="text1"/>
                <w:sz w:val="20"/>
                <w:szCs w:val="20"/>
              </w:rPr>
            </w:pPr>
            <w:r w:rsidRPr="00FB714C">
              <w:rPr>
                <w:rFonts w:ascii="Times New Roman" w:hAnsi="Times New Roman" w:cs="Times New Roman"/>
                <w:color w:val="000000" w:themeColor="text1"/>
                <w:sz w:val="20"/>
                <w:szCs w:val="20"/>
              </w:rPr>
              <w:t>1</w:t>
            </w:r>
          </w:p>
        </w:tc>
        <w:tc>
          <w:tcPr>
            <w:tcW w:w="1276" w:type="dxa"/>
            <w:gridSpan w:val="2"/>
            <w:tcBorders>
              <w:top w:val="single" w:sz="4" w:space="0" w:color="auto"/>
              <w:bottom w:val="single" w:sz="4" w:space="0" w:color="auto"/>
            </w:tcBorders>
            <w:vAlign w:val="center"/>
          </w:tcPr>
          <w:p w:rsidR="001A53D6" w:rsidRPr="00FB714C" w:rsidRDefault="001A53D6" w:rsidP="00761082">
            <w:pPr>
              <w:jc w:val="center"/>
              <w:rPr>
                <w:rFonts w:ascii="Times New Roman" w:hAnsi="Times New Roman" w:cs="Times New Roman"/>
                <w:color w:val="000000" w:themeColor="text1"/>
                <w:sz w:val="20"/>
                <w:szCs w:val="20"/>
              </w:rPr>
            </w:pPr>
            <w:r w:rsidRPr="00FB714C">
              <w:rPr>
                <w:rFonts w:ascii="Times New Roman" w:hAnsi="Times New Roman" w:cs="Times New Roman"/>
                <w:color w:val="000000" w:themeColor="text1"/>
                <w:sz w:val="20"/>
                <w:szCs w:val="20"/>
              </w:rPr>
              <w:t>1</w:t>
            </w:r>
          </w:p>
        </w:tc>
      </w:tr>
      <w:tr w:rsidR="001A53D6" w:rsidRPr="00FB714C" w:rsidTr="00CD19BF">
        <w:trPr>
          <w:gridAfter w:val="1"/>
          <w:wAfter w:w="1276" w:type="dxa"/>
          <w:trHeight w:val="357"/>
        </w:trPr>
        <w:tc>
          <w:tcPr>
            <w:tcW w:w="5245" w:type="dxa"/>
            <w:tcBorders>
              <w:top w:val="single" w:sz="4" w:space="0" w:color="auto"/>
              <w:bottom w:val="single" w:sz="4" w:space="0" w:color="auto"/>
            </w:tcBorders>
            <w:vAlign w:val="center"/>
          </w:tcPr>
          <w:p w:rsidR="001A53D6" w:rsidRPr="00FB714C" w:rsidRDefault="00F26E22" w:rsidP="00A10F5E">
            <w:pPr>
              <w:rPr>
                <w:rFonts w:ascii="Times New Roman" w:hAnsi="Times New Roman" w:cs="Times New Roman"/>
                <w:sz w:val="20"/>
                <w:szCs w:val="20"/>
              </w:rPr>
            </w:pPr>
            <w:r w:rsidRPr="00FB714C">
              <w:rPr>
                <w:rFonts w:ascii="Times New Roman" w:hAnsi="Times New Roman" w:cs="Times New Roman"/>
                <w:sz w:val="20"/>
                <w:szCs w:val="20"/>
              </w:rPr>
              <w:t>3</w:t>
            </w:r>
            <w:r w:rsidR="001A53D6" w:rsidRPr="00FB714C">
              <w:rPr>
                <w:rFonts w:ascii="Times New Roman" w:hAnsi="Times New Roman" w:cs="Times New Roman"/>
                <w:sz w:val="20"/>
                <w:szCs w:val="20"/>
              </w:rPr>
              <w:t xml:space="preserve">. Завършен </w:t>
            </w:r>
            <w:r w:rsidR="000B4309">
              <w:rPr>
                <w:rFonts w:ascii="Times New Roman" w:hAnsi="Times New Roman" w:cs="Times New Roman"/>
                <w:sz w:val="20"/>
                <w:szCs w:val="20"/>
              </w:rPr>
              <w:t>пътен обект и/или благоустройствен обект</w:t>
            </w:r>
            <w:r w:rsidR="001A53D6" w:rsidRPr="00FB714C">
              <w:rPr>
                <w:rFonts w:ascii="Times New Roman" w:hAnsi="Times New Roman" w:cs="Times New Roman"/>
                <w:sz w:val="20"/>
                <w:szCs w:val="20"/>
              </w:rPr>
              <w:t xml:space="preserve"> </w:t>
            </w:r>
            <w:r w:rsidR="002B07FF">
              <w:rPr>
                <w:rStyle w:val="FootnoteReference"/>
                <w:rFonts w:ascii="Times New Roman" w:hAnsi="Times New Roman" w:cs="Times New Roman"/>
                <w:sz w:val="20"/>
                <w:szCs w:val="20"/>
              </w:rPr>
              <w:footnoteReference w:id="1"/>
            </w:r>
          </w:p>
        </w:tc>
        <w:tc>
          <w:tcPr>
            <w:tcW w:w="851" w:type="dxa"/>
            <w:tcBorders>
              <w:top w:val="single" w:sz="4" w:space="0" w:color="auto"/>
              <w:bottom w:val="single" w:sz="4" w:space="0" w:color="auto"/>
            </w:tcBorders>
            <w:shd w:val="clear" w:color="auto" w:fill="F2F2F2" w:themeFill="background1" w:themeFillShade="F2"/>
            <w:vAlign w:val="center"/>
          </w:tcPr>
          <w:p w:rsidR="001A53D6" w:rsidRPr="00FB714C" w:rsidRDefault="00761082" w:rsidP="00761082">
            <w:pPr>
              <w:jc w:val="center"/>
              <w:rPr>
                <w:rFonts w:ascii="Times New Roman" w:hAnsi="Times New Roman" w:cs="Times New Roman"/>
                <w:sz w:val="20"/>
                <w:szCs w:val="20"/>
              </w:rPr>
            </w:pPr>
            <w:r>
              <w:rPr>
                <w:rFonts w:ascii="Times New Roman" w:hAnsi="Times New Roman" w:cs="Times New Roman"/>
                <w:sz w:val="20"/>
                <w:szCs w:val="20"/>
              </w:rPr>
              <w:t>брой</w:t>
            </w:r>
          </w:p>
        </w:tc>
        <w:tc>
          <w:tcPr>
            <w:tcW w:w="1275" w:type="dxa"/>
            <w:tcBorders>
              <w:top w:val="single" w:sz="4" w:space="0" w:color="auto"/>
              <w:bottom w:val="single" w:sz="4" w:space="0" w:color="auto"/>
            </w:tcBorders>
            <w:vAlign w:val="center"/>
          </w:tcPr>
          <w:p w:rsidR="001A53D6" w:rsidRPr="00EE699D" w:rsidRDefault="00EE699D" w:rsidP="00761082">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6</w:t>
            </w:r>
          </w:p>
        </w:tc>
        <w:tc>
          <w:tcPr>
            <w:tcW w:w="1134" w:type="dxa"/>
            <w:tcBorders>
              <w:top w:val="single" w:sz="4" w:space="0" w:color="auto"/>
              <w:bottom w:val="single" w:sz="4" w:space="0" w:color="auto"/>
            </w:tcBorders>
            <w:vAlign w:val="center"/>
          </w:tcPr>
          <w:p w:rsidR="001A53D6" w:rsidRPr="00EE699D" w:rsidRDefault="00EE699D" w:rsidP="00761082">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7</w:t>
            </w:r>
          </w:p>
        </w:tc>
        <w:tc>
          <w:tcPr>
            <w:tcW w:w="1276" w:type="dxa"/>
            <w:gridSpan w:val="2"/>
            <w:tcBorders>
              <w:top w:val="single" w:sz="4" w:space="0" w:color="auto"/>
              <w:bottom w:val="single" w:sz="4" w:space="0" w:color="auto"/>
            </w:tcBorders>
            <w:vAlign w:val="center"/>
          </w:tcPr>
          <w:p w:rsidR="001A53D6" w:rsidRPr="00FB714C" w:rsidRDefault="001A53D6" w:rsidP="00761082">
            <w:pPr>
              <w:jc w:val="center"/>
              <w:rPr>
                <w:rFonts w:ascii="Times New Roman" w:hAnsi="Times New Roman" w:cs="Times New Roman"/>
                <w:color w:val="000000" w:themeColor="text1"/>
                <w:sz w:val="20"/>
                <w:szCs w:val="20"/>
              </w:rPr>
            </w:pPr>
            <w:r w:rsidRPr="00FB714C">
              <w:rPr>
                <w:rFonts w:ascii="Times New Roman" w:hAnsi="Times New Roman" w:cs="Times New Roman"/>
                <w:color w:val="000000" w:themeColor="text1"/>
                <w:sz w:val="20"/>
                <w:szCs w:val="20"/>
              </w:rPr>
              <w:t>1</w:t>
            </w:r>
          </w:p>
        </w:tc>
      </w:tr>
      <w:tr w:rsidR="001A53D6" w:rsidRPr="00FB714C" w:rsidTr="00CD19BF">
        <w:trPr>
          <w:gridAfter w:val="1"/>
          <w:wAfter w:w="1276" w:type="dxa"/>
          <w:trHeight w:val="357"/>
        </w:trPr>
        <w:tc>
          <w:tcPr>
            <w:tcW w:w="5245" w:type="dxa"/>
            <w:tcBorders>
              <w:top w:val="single" w:sz="4" w:space="0" w:color="auto"/>
              <w:bottom w:val="single" w:sz="4" w:space="0" w:color="auto"/>
            </w:tcBorders>
            <w:vAlign w:val="center"/>
          </w:tcPr>
          <w:p w:rsidR="001A53D6" w:rsidRPr="00FB714C" w:rsidRDefault="00F26E22" w:rsidP="00EE699D">
            <w:pPr>
              <w:rPr>
                <w:rFonts w:ascii="Times New Roman" w:hAnsi="Times New Roman" w:cs="Times New Roman"/>
                <w:sz w:val="20"/>
                <w:szCs w:val="20"/>
              </w:rPr>
            </w:pPr>
            <w:r w:rsidRPr="00FB714C">
              <w:rPr>
                <w:rFonts w:ascii="Times New Roman" w:hAnsi="Times New Roman" w:cs="Times New Roman"/>
                <w:sz w:val="20"/>
                <w:szCs w:val="20"/>
              </w:rPr>
              <w:t>4</w:t>
            </w:r>
            <w:r w:rsidR="001A53D6" w:rsidRPr="00FB714C">
              <w:rPr>
                <w:rFonts w:ascii="Times New Roman" w:hAnsi="Times New Roman" w:cs="Times New Roman"/>
                <w:sz w:val="20"/>
                <w:szCs w:val="20"/>
              </w:rPr>
              <w:t xml:space="preserve">.Завършени геозащитни </w:t>
            </w:r>
            <w:r w:rsidR="00EE699D">
              <w:rPr>
                <w:rFonts w:ascii="Times New Roman" w:hAnsi="Times New Roman" w:cs="Times New Roman"/>
                <w:sz w:val="20"/>
                <w:szCs w:val="20"/>
              </w:rPr>
              <w:t>обекти</w:t>
            </w:r>
          </w:p>
        </w:tc>
        <w:tc>
          <w:tcPr>
            <w:tcW w:w="851" w:type="dxa"/>
            <w:tcBorders>
              <w:top w:val="single" w:sz="4" w:space="0" w:color="auto"/>
              <w:bottom w:val="single" w:sz="4" w:space="0" w:color="auto"/>
            </w:tcBorders>
            <w:shd w:val="clear" w:color="auto" w:fill="F2F2F2" w:themeFill="background1" w:themeFillShade="F2"/>
            <w:vAlign w:val="center"/>
          </w:tcPr>
          <w:p w:rsidR="001A53D6" w:rsidRPr="00EE699D" w:rsidRDefault="001A53D6" w:rsidP="00EE699D">
            <w:pPr>
              <w:jc w:val="center"/>
              <w:rPr>
                <w:rFonts w:ascii="Times New Roman" w:hAnsi="Times New Roman" w:cs="Times New Roman"/>
                <w:sz w:val="20"/>
                <w:szCs w:val="20"/>
                <w:lang w:val="en-US"/>
              </w:rPr>
            </w:pPr>
            <w:r w:rsidRPr="00FB714C">
              <w:rPr>
                <w:rFonts w:ascii="Times New Roman" w:hAnsi="Times New Roman" w:cs="Times New Roman"/>
                <w:sz w:val="20"/>
                <w:szCs w:val="20"/>
              </w:rPr>
              <w:t>бр./</w:t>
            </w:r>
            <w:r w:rsidR="00EE699D">
              <w:rPr>
                <w:rFonts w:ascii="Times New Roman" w:hAnsi="Times New Roman" w:cs="Times New Roman"/>
                <w:sz w:val="20"/>
                <w:szCs w:val="20"/>
                <w:lang w:val="en-US"/>
              </w:rPr>
              <w:t>%</w:t>
            </w:r>
          </w:p>
        </w:tc>
        <w:tc>
          <w:tcPr>
            <w:tcW w:w="1275" w:type="dxa"/>
            <w:tcBorders>
              <w:top w:val="single" w:sz="4" w:space="0" w:color="auto"/>
              <w:bottom w:val="single" w:sz="4" w:space="0" w:color="auto"/>
            </w:tcBorders>
            <w:vAlign w:val="center"/>
          </w:tcPr>
          <w:p w:rsidR="001A53D6" w:rsidRPr="002A65BD" w:rsidRDefault="00EE699D" w:rsidP="0076108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5</w:t>
            </w:r>
          </w:p>
        </w:tc>
        <w:tc>
          <w:tcPr>
            <w:tcW w:w="1134" w:type="dxa"/>
            <w:tcBorders>
              <w:top w:val="single" w:sz="4" w:space="0" w:color="auto"/>
              <w:bottom w:val="single" w:sz="4" w:space="0" w:color="auto"/>
            </w:tcBorders>
            <w:vAlign w:val="center"/>
          </w:tcPr>
          <w:p w:rsidR="001A53D6" w:rsidRPr="00EE699D" w:rsidRDefault="00EE699D" w:rsidP="00761082">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4</w:t>
            </w:r>
          </w:p>
        </w:tc>
        <w:tc>
          <w:tcPr>
            <w:tcW w:w="1276" w:type="dxa"/>
            <w:gridSpan w:val="2"/>
            <w:tcBorders>
              <w:top w:val="single" w:sz="4" w:space="0" w:color="auto"/>
              <w:bottom w:val="single" w:sz="4" w:space="0" w:color="auto"/>
            </w:tcBorders>
            <w:vAlign w:val="center"/>
          </w:tcPr>
          <w:p w:rsidR="001A53D6" w:rsidRPr="002A65BD" w:rsidRDefault="00EE699D" w:rsidP="0076108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4</w:t>
            </w:r>
          </w:p>
        </w:tc>
      </w:tr>
      <w:tr w:rsidR="00992768" w:rsidRPr="00FB714C" w:rsidTr="00CD19BF">
        <w:trPr>
          <w:gridAfter w:val="1"/>
          <w:wAfter w:w="1276" w:type="dxa"/>
          <w:trHeight w:val="357"/>
        </w:trPr>
        <w:tc>
          <w:tcPr>
            <w:tcW w:w="5245" w:type="dxa"/>
            <w:tcBorders>
              <w:top w:val="single" w:sz="4" w:space="0" w:color="auto"/>
              <w:bottom w:val="single" w:sz="4" w:space="0" w:color="auto"/>
            </w:tcBorders>
            <w:vAlign w:val="center"/>
          </w:tcPr>
          <w:p w:rsidR="00992768" w:rsidRPr="00FB714C" w:rsidRDefault="00992768" w:rsidP="00EE699D">
            <w:pPr>
              <w:rPr>
                <w:rFonts w:ascii="Times New Roman" w:hAnsi="Times New Roman" w:cs="Times New Roman"/>
                <w:sz w:val="20"/>
                <w:szCs w:val="20"/>
              </w:rPr>
            </w:pPr>
            <w:r>
              <w:rPr>
                <w:rFonts w:ascii="Times New Roman" w:hAnsi="Times New Roman" w:cs="Times New Roman"/>
                <w:sz w:val="20"/>
                <w:szCs w:val="20"/>
              </w:rPr>
              <w:t>5. Брегоукрепване</w:t>
            </w:r>
          </w:p>
        </w:tc>
        <w:tc>
          <w:tcPr>
            <w:tcW w:w="851" w:type="dxa"/>
            <w:tcBorders>
              <w:top w:val="single" w:sz="4" w:space="0" w:color="auto"/>
              <w:bottom w:val="single" w:sz="4" w:space="0" w:color="auto"/>
            </w:tcBorders>
            <w:shd w:val="clear" w:color="auto" w:fill="F2F2F2" w:themeFill="background1" w:themeFillShade="F2"/>
            <w:vAlign w:val="center"/>
          </w:tcPr>
          <w:p w:rsidR="00992768" w:rsidRPr="00FB714C" w:rsidRDefault="00992768" w:rsidP="00EE699D">
            <w:pPr>
              <w:jc w:val="center"/>
              <w:rPr>
                <w:rFonts w:ascii="Times New Roman" w:hAnsi="Times New Roman" w:cs="Times New Roman"/>
                <w:sz w:val="20"/>
                <w:szCs w:val="20"/>
              </w:rPr>
            </w:pPr>
            <w:r>
              <w:rPr>
                <w:rFonts w:ascii="Times New Roman" w:hAnsi="Times New Roman" w:cs="Times New Roman"/>
                <w:sz w:val="20"/>
                <w:szCs w:val="20"/>
              </w:rPr>
              <w:t>м</w:t>
            </w:r>
          </w:p>
        </w:tc>
        <w:tc>
          <w:tcPr>
            <w:tcW w:w="1275" w:type="dxa"/>
            <w:tcBorders>
              <w:top w:val="single" w:sz="4" w:space="0" w:color="auto"/>
              <w:bottom w:val="single" w:sz="4" w:space="0" w:color="auto"/>
            </w:tcBorders>
            <w:vAlign w:val="center"/>
          </w:tcPr>
          <w:p w:rsidR="00992768" w:rsidRPr="00992768" w:rsidRDefault="00992768" w:rsidP="0076108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w:t>
            </w:r>
          </w:p>
        </w:tc>
        <w:tc>
          <w:tcPr>
            <w:tcW w:w="1134" w:type="dxa"/>
            <w:tcBorders>
              <w:top w:val="single" w:sz="4" w:space="0" w:color="auto"/>
              <w:bottom w:val="single" w:sz="4" w:space="0" w:color="auto"/>
            </w:tcBorders>
            <w:vAlign w:val="center"/>
          </w:tcPr>
          <w:p w:rsidR="00992768" w:rsidRPr="00992768" w:rsidRDefault="00992768" w:rsidP="0076108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w:t>
            </w:r>
          </w:p>
        </w:tc>
        <w:tc>
          <w:tcPr>
            <w:tcW w:w="1276" w:type="dxa"/>
            <w:gridSpan w:val="2"/>
            <w:tcBorders>
              <w:top w:val="single" w:sz="4" w:space="0" w:color="auto"/>
              <w:bottom w:val="single" w:sz="4" w:space="0" w:color="auto"/>
            </w:tcBorders>
            <w:vAlign w:val="center"/>
          </w:tcPr>
          <w:p w:rsidR="00992768" w:rsidRPr="00992768" w:rsidRDefault="00992768" w:rsidP="0076108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400</w:t>
            </w:r>
          </w:p>
        </w:tc>
      </w:tr>
      <w:tr w:rsidR="001A53D6" w:rsidRPr="00FB714C" w:rsidTr="00CD19BF">
        <w:trPr>
          <w:gridAfter w:val="1"/>
          <w:wAfter w:w="1276" w:type="dxa"/>
          <w:trHeight w:val="357"/>
        </w:trPr>
        <w:tc>
          <w:tcPr>
            <w:tcW w:w="5245" w:type="dxa"/>
            <w:tcBorders>
              <w:top w:val="single" w:sz="4" w:space="0" w:color="auto"/>
              <w:bottom w:val="single" w:sz="4" w:space="0" w:color="auto"/>
            </w:tcBorders>
            <w:vAlign w:val="center"/>
          </w:tcPr>
          <w:p w:rsidR="001A53D6" w:rsidRPr="00FB714C" w:rsidRDefault="001F782D" w:rsidP="00A10F5E">
            <w:pPr>
              <w:rPr>
                <w:rFonts w:ascii="Times New Roman" w:hAnsi="Times New Roman" w:cs="Times New Roman"/>
                <w:sz w:val="20"/>
                <w:szCs w:val="20"/>
              </w:rPr>
            </w:pPr>
            <w:r>
              <w:rPr>
                <w:rFonts w:ascii="Times New Roman" w:hAnsi="Times New Roman" w:cs="Times New Roman"/>
                <w:sz w:val="20"/>
                <w:szCs w:val="20"/>
              </w:rPr>
              <w:t>6</w:t>
            </w:r>
            <w:r w:rsidR="001A53D6" w:rsidRPr="00FB714C">
              <w:rPr>
                <w:rFonts w:ascii="Times New Roman" w:hAnsi="Times New Roman" w:cs="Times New Roman"/>
                <w:sz w:val="20"/>
                <w:szCs w:val="20"/>
              </w:rPr>
              <w:t>. Контролирана свлачищна територия</w:t>
            </w:r>
          </w:p>
        </w:tc>
        <w:tc>
          <w:tcPr>
            <w:tcW w:w="851" w:type="dxa"/>
            <w:tcBorders>
              <w:top w:val="single" w:sz="4" w:space="0" w:color="auto"/>
              <w:bottom w:val="single" w:sz="4" w:space="0" w:color="auto"/>
            </w:tcBorders>
            <w:shd w:val="clear" w:color="auto" w:fill="F2F2F2" w:themeFill="background1" w:themeFillShade="F2"/>
            <w:vAlign w:val="center"/>
          </w:tcPr>
          <w:p w:rsidR="001A53D6" w:rsidRPr="00FB714C" w:rsidRDefault="001A53D6" w:rsidP="00761082">
            <w:pPr>
              <w:jc w:val="center"/>
              <w:rPr>
                <w:rFonts w:ascii="Times New Roman" w:hAnsi="Times New Roman" w:cs="Times New Roman"/>
                <w:sz w:val="20"/>
                <w:szCs w:val="20"/>
              </w:rPr>
            </w:pPr>
            <w:r w:rsidRPr="00FB714C">
              <w:rPr>
                <w:rFonts w:ascii="Times New Roman" w:hAnsi="Times New Roman" w:cs="Times New Roman"/>
                <w:sz w:val="20"/>
                <w:szCs w:val="20"/>
              </w:rPr>
              <w:t>ха</w:t>
            </w:r>
          </w:p>
        </w:tc>
        <w:tc>
          <w:tcPr>
            <w:tcW w:w="1275" w:type="dxa"/>
            <w:tcBorders>
              <w:top w:val="single" w:sz="4" w:space="0" w:color="auto"/>
              <w:bottom w:val="single" w:sz="4" w:space="0" w:color="auto"/>
            </w:tcBorders>
            <w:vAlign w:val="center"/>
          </w:tcPr>
          <w:p w:rsidR="001A53D6" w:rsidRPr="000B4309" w:rsidRDefault="000B4309" w:rsidP="0076108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w:t>
            </w:r>
          </w:p>
        </w:tc>
        <w:tc>
          <w:tcPr>
            <w:tcW w:w="1134" w:type="dxa"/>
            <w:tcBorders>
              <w:top w:val="single" w:sz="4" w:space="0" w:color="auto"/>
              <w:bottom w:val="single" w:sz="4" w:space="0" w:color="auto"/>
            </w:tcBorders>
            <w:vAlign w:val="center"/>
          </w:tcPr>
          <w:p w:rsidR="001A53D6" w:rsidRPr="00686C81" w:rsidRDefault="001A53D6" w:rsidP="00761082">
            <w:pPr>
              <w:jc w:val="center"/>
              <w:rPr>
                <w:rFonts w:ascii="Times New Roman" w:hAnsi="Times New Roman" w:cs="Times New Roman"/>
                <w:color w:val="000000" w:themeColor="text1"/>
                <w:sz w:val="20"/>
                <w:szCs w:val="20"/>
              </w:rPr>
            </w:pPr>
            <w:r w:rsidRPr="00686C81">
              <w:rPr>
                <w:rFonts w:ascii="Times New Roman" w:hAnsi="Times New Roman" w:cs="Times New Roman"/>
                <w:color w:val="000000" w:themeColor="text1"/>
                <w:sz w:val="20"/>
                <w:szCs w:val="20"/>
              </w:rPr>
              <w:t>1000</w:t>
            </w:r>
          </w:p>
        </w:tc>
        <w:tc>
          <w:tcPr>
            <w:tcW w:w="1276" w:type="dxa"/>
            <w:gridSpan w:val="2"/>
            <w:tcBorders>
              <w:top w:val="single" w:sz="4" w:space="0" w:color="auto"/>
              <w:bottom w:val="single" w:sz="4" w:space="0" w:color="auto"/>
            </w:tcBorders>
            <w:vAlign w:val="center"/>
          </w:tcPr>
          <w:p w:rsidR="001A53D6" w:rsidRPr="00686C81" w:rsidRDefault="001A53D6" w:rsidP="00761082">
            <w:pPr>
              <w:jc w:val="center"/>
              <w:rPr>
                <w:rFonts w:ascii="Times New Roman" w:hAnsi="Times New Roman" w:cs="Times New Roman"/>
                <w:color w:val="000000" w:themeColor="text1"/>
                <w:sz w:val="20"/>
                <w:szCs w:val="20"/>
              </w:rPr>
            </w:pPr>
            <w:r w:rsidRPr="00686C81">
              <w:rPr>
                <w:rFonts w:ascii="Times New Roman" w:hAnsi="Times New Roman" w:cs="Times New Roman"/>
                <w:color w:val="000000" w:themeColor="text1"/>
                <w:sz w:val="20"/>
                <w:szCs w:val="20"/>
                <w:lang w:val="en-US"/>
              </w:rPr>
              <w:t>10</w:t>
            </w:r>
            <w:r w:rsidRPr="00686C81">
              <w:rPr>
                <w:rFonts w:ascii="Times New Roman" w:hAnsi="Times New Roman" w:cs="Times New Roman"/>
                <w:color w:val="000000" w:themeColor="text1"/>
                <w:sz w:val="20"/>
                <w:szCs w:val="20"/>
              </w:rPr>
              <w:t>00</w:t>
            </w:r>
          </w:p>
        </w:tc>
      </w:tr>
      <w:tr w:rsidR="00442AB6" w:rsidRPr="00FB714C" w:rsidTr="00A10F5E">
        <w:trPr>
          <w:gridAfter w:val="1"/>
          <w:wAfter w:w="1276" w:type="dxa"/>
          <w:trHeight w:val="353"/>
        </w:trPr>
        <w:tc>
          <w:tcPr>
            <w:tcW w:w="5245" w:type="dxa"/>
            <w:tcBorders>
              <w:top w:val="single" w:sz="4" w:space="0" w:color="auto"/>
              <w:bottom w:val="single" w:sz="4" w:space="0" w:color="auto"/>
            </w:tcBorders>
            <w:vAlign w:val="center"/>
          </w:tcPr>
          <w:p w:rsidR="00442AB6" w:rsidRPr="00FB714C" w:rsidRDefault="001F782D" w:rsidP="00A10F5E">
            <w:pPr>
              <w:pStyle w:val="ListParagraph"/>
              <w:tabs>
                <w:tab w:val="left" w:pos="179"/>
                <w:tab w:val="left" w:pos="255"/>
              </w:tabs>
              <w:ind w:left="37"/>
              <w:rPr>
                <w:rFonts w:ascii="Times New Roman" w:hAnsi="Times New Roman" w:cs="Times New Roman"/>
                <w:sz w:val="20"/>
                <w:szCs w:val="20"/>
              </w:rPr>
            </w:pPr>
            <w:r>
              <w:rPr>
                <w:rFonts w:ascii="Times New Roman" w:hAnsi="Times New Roman" w:cs="Times New Roman"/>
                <w:sz w:val="20"/>
                <w:szCs w:val="20"/>
              </w:rPr>
              <w:t>7</w:t>
            </w:r>
            <w:r w:rsidR="00442AB6" w:rsidRPr="00FB714C">
              <w:rPr>
                <w:rFonts w:ascii="Times New Roman" w:hAnsi="Times New Roman" w:cs="Times New Roman"/>
                <w:sz w:val="20"/>
                <w:szCs w:val="20"/>
              </w:rPr>
              <w:t xml:space="preserve">. Обезпечаване на територията на страната с общи устройствени планове. </w:t>
            </w:r>
            <w:r w:rsidR="00442AB6" w:rsidRPr="00FB714C">
              <w:rPr>
                <w:rFonts w:ascii="Times New Roman" w:hAnsi="Times New Roman" w:cs="Times New Roman"/>
                <w:i/>
                <w:sz w:val="20"/>
                <w:szCs w:val="20"/>
              </w:rPr>
              <w:t>(нарастване на броя на общините с действащи общи устройствени планове)</w:t>
            </w:r>
          </w:p>
        </w:tc>
        <w:tc>
          <w:tcPr>
            <w:tcW w:w="851" w:type="dxa"/>
            <w:tcBorders>
              <w:top w:val="single" w:sz="4" w:space="0" w:color="auto"/>
              <w:bottom w:val="single" w:sz="4" w:space="0" w:color="auto"/>
            </w:tcBorders>
            <w:shd w:val="clear" w:color="auto" w:fill="F2F2F2" w:themeFill="background1" w:themeFillShade="F2"/>
            <w:vAlign w:val="center"/>
          </w:tcPr>
          <w:p w:rsidR="00442AB6" w:rsidRPr="00FB714C" w:rsidRDefault="00442AB6" w:rsidP="00761082">
            <w:pPr>
              <w:jc w:val="center"/>
              <w:rPr>
                <w:rFonts w:ascii="Times New Roman" w:hAnsi="Times New Roman" w:cs="Times New Roman"/>
                <w:sz w:val="20"/>
                <w:szCs w:val="20"/>
              </w:rPr>
            </w:pPr>
            <w:r w:rsidRPr="00FB714C">
              <w:rPr>
                <w:rFonts w:ascii="Times New Roman" w:hAnsi="Times New Roman" w:cs="Times New Roman"/>
                <w:sz w:val="20"/>
                <w:szCs w:val="20"/>
              </w:rPr>
              <w:t>%</w:t>
            </w:r>
          </w:p>
        </w:tc>
        <w:tc>
          <w:tcPr>
            <w:tcW w:w="1275" w:type="dxa"/>
            <w:tcBorders>
              <w:top w:val="single" w:sz="4" w:space="0" w:color="auto"/>
              <w:bottom w:val="single" w:sz="4" w:space="0" w:color="auto"/>
            </w:tcBorders>
            <w:vAlign w:val="center"/>
          </w:tcPr>
          <w:p w:rsidR="00442AB6" w:rsidRPr="00FB714C" w:rsidRDefault="00442AB6" w:rsidP="00761082">
            <w:pPr>
              <w:jc w:val="center"/>
              <w:rPr>
                <w:rFonts w:ascii="Times New Roman" w:hAnsi="Times New Roman" w:cs="Times New Roman"/>
                <w:sz w:val="20"/>
                <w:szCs w:val="20"/>
              </w:rPr>
            </w:pPr>
            <w:r w:rsidRPr="00FB714C">
              <w:rPr>
                <w:rFonts w:ascii="Times New Roman" w:hAnsi="Times New Roman" w:cs="Times New Roman"/>
                <w:sz w:val="20"/>
                <w:szCs w:val="20"/>
              </w:rPr>
              <w:t>15</w:t>
            </w:r>
          </w:p>
        </w:tc>
        <w:tc>
          <w:tcPr>
            <w:tcW w:w="1134" w:type="dxa"/>
            <w:tcBorders>
              <w:top w:val="single" w:sz="4" w:space="0" w:color="auto"/>
              <w:bottom w:val="single" w:sz="4" w:space="0" w:color="auto"/>
            </w:tcBorders>
            <w:vAlign w:val="center"/>
          </w:tcPr>
          <w:p w:rsidR="00442AB6" w:rsidRPr="00FB714C" w:rsidRDefault="00442AB6" w:rsidP="00761082">
            <w:pPr>
              <w:jc w:val="center"/>
              <w:rPr>
                <w:rFonts w:ascii="Times New Roman" w:hAnsi="Times New Roman" w:cs="Times New Roman"/>
                <w:color w:val="000000" w:themeColor="text1"/>
                <w:sz w:val="20"/>
                <w:szCs w:val="20"/>
              </w:rPr>
            </w:pPr>
            <w:r w:rsidRPr="00FB714C">
              <w:rPr>
                <w:rFonts w:ascii="Times New Roman" w:hAnsi="Times New Roman" w:cs="Times New Roman"/>
                <w:color w:val="000000" w:themeColor="text1"/>
                <w:sz w:val="20"/>
                <w:szCs w:val="20"/>
              </w:rPr>
              <w:t>30</w:t>
            </w:r>
          </w:p>
        </w:tc>
        <w:tc>
          <w:tcPr>
            <w:tcW w:w="1276" w:type="dxa"/>
            <w:gridSpan w:val="2"/>
            <w:tcBorders>
              <w:top w:val="single" w:sz="4" w:space="0" w:color="auto"/>
              <w:bottom w:val="single" w:sz="4" w:space="0" w:color="auto"/>
            </w:tcBorders>
            <w:vAlign w:val="center"/>
          </w:tcPr>
          <w:p w:rsidR="00442AB6" w:rsidRPr="00FB714C" w:rsidRDefault="00442AB6" w:rsidP="00761082">
            <w:pPr>
              <w:jc w:val="center"/>
              <w:rPr>
                <w:rFonts w:ascii="Times New Roman" w:hAnsi="Times New Roman" w:cs="Times New Roman"/>
                <w:color w:val="000000" w:themeColor="text1"/>
                <w:sz w:val="20"/>
                <w:szCs w:val="20"/>
              </w:rPr>
            </w:pPr>
            <w:r w:rsidRPr="00FB714C">
              <w:rPr>
                <w:rFonts w:ascii="Times New Roman" w:hAnsi="Times New Roman" w:cs="Times New Roman"/>
                <w:color w:val="000000" w:themeColor="text1"/>
                <w:sz w:val="20"/>
                <w:szCs w:val="20"/>
              </w:rPr>
              <w:t>25</w:t>
            </w:r>
          </w:p>
        </w:tc>
      </w:tr>
      <w:tr w:rsidR="00047768" w:rsidRPr="00A10F5E" w:rsidTr="00672ADD">
        <w:trPr>
          <w:gridAfter w:val="1"/>
          <w:wAfter w:w="1276" w:type="dxa"/>
          <w:trHeight w:val="460"/>
        </w:trPr>
        <w:tc>
          <w:tcPr>
            <w:tcW w:w="5245" w:type="dxa"/>
            <w:tcBorders>
              <w:top w:val="single" w:sz="4" w:space="0" w:color="auto"/>
              <w:bottom w:val="single" w:sz="4" w:space="0" w:color="auto"/>
            </w:tcBorders>
            <w:vAlign w:val="center"/>
          </w:tcPr>
          <w:p w:rsidR="00047768" w:rsidRPr="00A10F5E" w:rsidRDefault="001F782D" w:rsidP="00047768">
            <w:pPr>
              <w:rPr>
                <w:rFonts w:ascii="Times New Roman" w:hAnsi="Times New Roman" w:cs="Times New Roman"/>
                <w:sz w:val="20"/>
                <w:szCs w:val="18"/>
              </w:rPr>
            </w:pPr>
            <w:r>
              <w:rPr>
                <w:rFonts w:ascii="Times New Roman" w:hAnsi="Times New Roman" w:cs="Times New Roman"/>
                <w:sz w:val="20"/>
                <w:szCs w:val="18"/>
              </w:rPr>
              <w:t>8</w:t>
            </w:r>
            <w:r w:rsidR="00047768" w:rsidRPr="00A10F5E">
              <w:rPr>
                <w:rFonts w:ascii="Times New Roman" w:hAnsi="Times New Roman" w:cs="Times New Roman"/>
                <w:sz w:val="20"/>
                <w:szCs w:val="18"/>
              </w:rPr>
              <w:t>. Рехабили</w:t>
            </w:r>
            <w:r w:rsidR="00047768">
              <w:rPr>
                <w:rFonts w:ascii="Times New Roman" w:hAnsi="Times New Roman" w:cs="Times New Roman"/>
                <w:sz w:val="20"/>
                <w:szCs w:val="18"/>
              </w:rPr>
              <w:t>тация</w:t>
            </w:r>
            <w:r w:rsidR="00047768" w:rsidRPr="00A10F5E">
              <w:rPr>
                <w:rFonts w:ascii="Times New Roman" w:hAnsi="Times New Roman" w:cs="Times New Roman"/>
                <w:sz w:val="20"/>
                <w:szCs w:val="18"/>
              </w:rPr>
              <w:t xml:space="preserve"> и новоизградени участъци </w:t>
            </w:r>
          </w:p>
        </w:tc>
        <w:tc>
          <w:tcPr>
            <w:tcW w:w="851" w:type="dxa"/>
            <w:tcBorders>
              <w:top w:val="single" w:sz="4" w:space="0" w:color="auto"/>
              <w:bottom w:val="single" w:sz="4" w:space="0" w:color="auto"/>
            </w:tcBorders>
            <w:shd w:val="clear" w:color="auto" w:fill="F2F2F2" w:themeFill="background1" w:themeFillShade="F2"/>
            <w:vAlign w:val="center"/>
          </w:tcPr>
          <w:p w:rsidR="00047768" w:rsidRPr="00A10F5E" w:rsidRDefault="00047768" w:rsidP="00047768">
            <w:pPr>
              <w:jc w:val="center"/>
              <w:rPr>
                <w:rFonts w:ascii="Times New Roman" w:hAnsi="Times New Roman" w:cs="Times New Roman"/>
                <w:sz w:val="20"/>
                <w:szCs w:val="18"/>
              </w:rPr>
            </w:pPr>
            <w:r w:rsidRPr="00A10F5E">
              <w:rPr>
                <w:rFonts w:ascii="Times New Roman" w:hAnsi="Times New Roman" w:cs="Times New Roman"/>
                <w:sz w:val="20"/>
                <w:szCs w:val="18"/>
              </w:rPr>
              <w:t>Км.</w:t>
            </w:r>
          </w:p>
        </w:tc>
        <w:tc>
          <w:tcPr>
            <w:tcW w:w="1275" w:type="dxa"/>
            <w:tcBorders>
              <w:top w:val="single" w:sz="4" w:space="0" w:color="auto"/>
              <w:left w:val="nil"/>
              <w:bottom w:val="nil"/>
              <w:right w:val="nil"/>
            </w:tcBorders>
          </w:tcPr>
          <w:p w:rsidR="00047768" w:rsidRPr="00047768" w:rsidRDefault="00047768" w:rsidP="00047768">
            <w:pPr>
              <w:jc w:val="center"/>
              <w:rPr>
                <w:rFonts w:ascii="Times New Roman" w:hAnsi="Times New Roman" w:cs="Times New Roman"/>
                <w:sz w:val="20"/>
                <w:szCs w:val="20"/>
              </w:rPr>
            </w:pPr>
            <w:r w:rsidRPr="00047768">
              <w:rPr>
                <w:rFonts w:ascii="Times New Roman" w:hAnsi="Times New Roman" w:cs="Times New Roman"/>
                <w:sz w:val="20"/>
                <w:szCs w:val="20"/>
              </w:rPr>
              <w:t>318.62</w:t>
            </w:r>
          </w:p>
        </w:tc>
        <w:tc>
          <w:tcPr>
            <w:tcW w:w="1134" w:type="dxa"/>
            <w:tcBorders>
              <w:top w:val="single" w:sz="4" w:space="0" w:color="auto"/>
              <w:left w:val="nil"/>
              <w:bottom w:val="nil"/>
              <w:right w:val="nil"/>
            </w:tcBorders>
          </w:tcPr>
          <w:p w:rsidR="00047768" w:rsidRPr="00047768" w:rsidRDefault="00047768" w:rsidP="00047768">
            <w:pPr>
              <w:jc w:val="center"/>
              <w:rPr>
                <w:rFonts w:ascii="Times New Roman" w:hAnsi="Times New Roman" w:cs="Times New Roman"/>
                <w:sz w:val="20"/>
                <w:szCs w:val="20"/>
              </w:rPr>
            </w:pPr>
            <w:r w:rsidRPr="00047768">
              <w:rPr>
                <w:rFonts w:ascii="Times New Roman" w:hAnsi="Times New Roman" w:cs="Times New Roman"/>
                <w:sz w:val="20"/>
                <w:szCs w:val="20"/>
              </w:rPr>
              <w:t>482.393</w:t>
            </w:r>
          </w:p>
        </w:tc>
        <w:tc>
          <w:tcPr>
            <w:tcW w:w="1276" w:type="dxa"/>
            <w:gridSpan w:val="2"/>
            <w:tcBorders>
              <w:top w:val="single" w:sz="4" w:space="0" w:color="auto"/>
              <w:left w:val="nil"/>
              <w:bottom w:val="nil"/>
              <w:right w:val="nil"/>
            </w:tcBorders>
          </w:tcPr>
          <w:p w:rsidR="00047768" w:rsidRPr="00047768" w:rsidRDefault="00047768" w:rsidP="00047768">
            <w:pPr>
              <w:jc w:val="center"/>
              <w:rPr>
                <w:rFonts w:ascii="Times New Roman" w:hAnsi="Times New Roman" w:cs="Times New Roman"/>
                <w:sz w:val="20"/>
                <w:szCs w:val="20"/>
              </w:rPr>
            </w:pPr>
            <w:r w:rsidRPr="00047768">
              <w:rPr>
                <w:rFonts w:ascii="Times New Roman" w:hAnsi="Times New Roman" w:cs="Times New Roman"/>
                <w:sz w:val="20"/>
                <w:szCs w:val="20"/>
                <w:lang w:val="en-US"/>
              </w:rPr>
              <w:t>4</w:t>
            </w:r>
            <w:r w:rsidRPr="00047768">
              <w:rPr>
                <w:rFonts w:ascii="Times New Roman" w:hAnsi="Times New Roman" w:cs="Times New Roman"/>
                <w:sz w:val="20"/>
                <w:szCs w:val="20"/>
              </w:rPr>
              <w:t>11.</w:t>
            </w:r>
            <w:r w:rsidRPr="00047768">
              <w:rPr>
                <w:rFonts w:ascii="Times New Roman" w:hAnsi="Times New Roman" w:cs="Times New Roman"/>
                <w:sz w:val="20"/>
                <w:szCs w:val="20"/>
                <w:lang w:val="en-US"/>
              </w:rPr>
              <w:t>4</w:t>
            </w:r>
            <w:r w:rsidRPr="00047768">
              <w:rPr>
                <w:rFonts w:ascii="Times New Roman" w:hAnsi="Times New Roman" w:cs="Times New Roman"/>
                <w:sz w:val="20"/>
                <w:szCs w:val="20"/>
              </w:rPr>
              <w:t>9</w:t>
            </w:r>
          </w:p>
        </w:tc>
      </w:tr>
      <w:tr w:rsidR="00F168CE" w:rsidRPr="00A10F5E" w:rsidTr="00CD19BF">
        <w:trPr>
          <w:trHeight w:val="377"/>
        </w:trPr>
        <w:tc>
          <w:tcPr>
            <w:tcW w:w="5245" w:type="dxa"/>
            <w:tcBorders>
              <w:top w:val="single" w:sz="4" w:space="0" w:color="auto"/>
              <w:bottom w:val="single" w:sz="4" w:space="0" w:color="auto"/>
            </w:tcBorders>
            <w:vAlign w:val="center"/>
          </w:tcPr>
          <w:p w:rsidR="00F168CE" w:rsidRPr="00A10F5E" w:rsidRDefault="001F782D" w:rsidP="00A10F5E">
            <w:pPr>
              <w:rPr>
                <w:rFonts w:ascii="Times New Roman" w:hAnsi="Times New Roman" w:cs="Times New Roman"/>
                <w:sz w:val="20"/>
                <w:szCs w:val="18"/>
              </w:rPr>
            </w:pPr>
            <w:r>
              <w:rPr>
                <w:rFonts w:ascii="Times New Roman" w:hAnsi="Times New Roman" w:cs="Times New Roman"/>
                <w:sz w:val="20"/>
                <w:szCs w:val="18"/>
              </w:rPr>
              <w:t>9</w:t>
            </w:r>
            <w:r w:rsidR="00F168CE" w:rsidRPr="00A10F5E">
              <w:rPr>
                <w:rFonts w:ascii="Times New Roman" w:hAnsi="Times New Roman" w:cs="Times New Roman"/>
                <w:sz w:val="20"/>
                <w:szCs w:val="18"/>
              </w:rPr>
              <w:t>. Текущ ремонт и поддържане на РПМ</w:t>
            </w:r>
          </w:p>
        </w:tc>
        <w:tc>
          <w:tcPr>
            <w:tcW w:w="851" w:type="dxa"/>
            <w:tcBorders>
              <w:top w:val="single" w:sz="4" w:space="0" w:color="auto"/>
              <w:bottom w:val="single" w:sz="4" w:space="0" w:color="auto"/>
            </w:tcBorders>
            <w:shd w:val="clear" w:color="auto" w:fill="F2F2F2" w:themeFill="background1" w:themeFillShade="F2"/>
            <w:vAlign w:val="center"/>
          </w:tcPr>
          <w:p w:rsidR="00F168CE" w:rsidRPr="00A10F5E" w:rsidRDefault="00F168CE" w:rsidP="00761082">
            <w:pPr>
              <w:jc w:val="center"/>
              <w:rPr>
                <w:rFonts w:ascii="Times New Roman" w:hAnsi="Times New Roman" w:cs="Times New Roman"/>
                <w:sz w:val="20"/>
                <w:szCs w:val="18"/>
              </w:rPr>
            </w:pPr>
            <w:r w:rsidRPr="00A10F5E">
              <w:rPr>
                <w:rFonts w:ascii="Times New Roman" w:hAnsi="Times New Roman" w:cs="Times New Roman"/>
                <w:sz w:val="20"/>
                <w:szCs w:val="18"/>
              </w:rPr>
              <w:t>Км.</w:t>
            </w:r>
          </w:p>
        </w:tc>
        <w:tc>
          <w:tcPr>
            <w:tcW w:w="1275" w:type="dxa"/>
            <w:tcBorders>
              <w:top w:val="single" w:sz="4" w:space="0" w:color="auto"/>
              <w:bottom w:val="single" w:sz="4" w:space="0" w:color="auto"/>
            </w:tcBorders>
            <w:vAlign w:val="center"/>
          </w:tcPr>
          <w:p w:rsidR="00F168CE" w:rsidRPr="00A10F5E" w:rsidRDefault="00511568" w:rsidP="00761082">
            <w:pPr>
              <w:jc w:val="center"/>
              <w:rPr>
                <w:rFonts w:ascii="Times New Roman" w:hAnsi="Times New Roman" w:cs="Times New Roman"/>
                <w:sz w:val="20"/>
                <w:szCs w:val="20"/>
              </w:rPr>
            </w:pPr>
            <w:r>
              <w:rPr>
                <w:rFonts w:ascii="Times New Roman" w:hAnsi="Times New Roman" w:cs="Times New Roman"/>
                <w:sz w:val="20"/>
                <w:szCs w:val="20"/>
              </w:rPr>
              <w:t>19 917.18</w:t>
            </w:r>
          </w:p>
        </w:tc>
        <w:tc>
          <w:tcPr>
            <w:tcW w:w="1134" w:type="dxa"/>
            <w:tcBorders>
              <w:top w:val="single" w:sz="4" w:space="0" w:color="auto"/>
              <w:bottom w:val="single" w:sz="4" w:space="0" w:color="auto"/>
            </w:tcBorders>
            <w:vAlign w:val="center"/>
          </w:tcPr>
          <w:p w:rsidR="00F168CE" w:rsidRPr="00A10F5E" w:rsidRDefault="00511568" w:rsidP="00761082">
            <w:pPr>
              <w:jc w:val="center"/>
              <w:rPr>
                <w:rFonts w:ascii="Times New Roman" w:hAnsi="Times New Roman" w:cs="Times New Roman"/>
                <w:sz w:val="20"/>
                <w:szCs w:val="20"/>
              </w:rPr>
            </w:pPr>
            <w:r>
              <w:rPr>
                <w:rFonts w:ascii="Times New Roman" w:hAnsi="Times New Roman" w:cs="Times New Roman"/>
                <w:sz w:val="20"/>
                <w:szCs w:val="20"/>
              </w:rPr>
              <w:t>19 917.18</w:t>
            </w:r>
          </w:p>
        </w:tc>
        <w:tc>
          <w:tcPr>
            <w:tcW w:w="1276" w:type="dxa"/>
            <w:gridSpan w:val="2"/>
            <w:tcBorders>
              <w:top w:val="single" w:sz="4" w:space="0" w:color="auto"/>
              <w:bottom w:val="single" w:sz="4" w:space="0" w:color="auto"/>
            </w:tcBorders>
            <w:vAlign w:val="center"/>
          </w:tcPr>
          <w:p w:rsidR="00F168CE" w:rsidRPr="00A10F5E" w:rsidRDefault="00511568" w:rsidP="00761082">
            <w:pPr>
              <w:jc w:val="center"/>
              <w:rPr>
                <w:rFonts w:ascii="Times New Roman" w:hAnsi="Times New Roman" w:cs="Times New Roman"/>
                <w:sz w:val="20"/>
                <w:szCs w:val="20"/>
              </w:rPr>
            </w:pPr>
            <w:r>
              <w:rPr>
                <w:rFonts w:ascii="Times New Roman" w:hAnsi="Times New Roman" w:cs="Times New Roman"/>
                <w:sz w:val="20"/>
                <w:szCs w:val="20"/>
              </w:rPr>
              <w:t>19 917.18</w:t>
            </w:r>
          </w:p>
        </w:tc>
        <w:tc>
          <w:tcPr>
            <w:tcW w:w="1276" w:type="dxa"/>
            <w:vAlign w:val="center"/>
          </w:tcPr>
          <w:p w:rsidR="00F168CE" w:rsidRPr="00A10F5E" w:rsidRDefault="00F168CE" w:rsidP="00A10F5E">
            <w:pPr>
              <w:rPr>
                <w:rFonts w:ascii="Times New Roman" w:hAnsi="Times New Roman" w:cs="Times New Roman"/>
                <w:color w:val="000000" w:themeColor="text1"/>
                <w:sz w:val="20"/>
                <w:szCs w:val="20"/>
              </w:rPr>
            </w:pPr>
          </w:p>
        </w:tc>
      </w:tr>
      <w:tr w:rsidR="00F168CE" w:rsidRPr="00FB714C" w:rsidTr="00CD19BF">
        <w:trPr>
          <w:gridAfter w:val="1"/>
          <w:wAfter w:w="1276" w:type="dxa"/>
          <w:trHeight w:val="377"/>
        </w:trPr>
        <w:tc>
          <w:tcPr>
            <w:tcW w:w="5245" w:type="dxa"/>
            <w:tcBorders>
              <w:top w:val="single" w:sz="4" w:space="0" w:color="auto"/>
              <w:bottom w:val="single" w:sz="4" w:space="0" w:color="auto"/>
            </w:tcBorders>
            <w:vAlign w:val="center"/>
          </w:tcPr>
          <w:p w:rsidR="00F168CE" w:rsidRPr="001A7F8A" w:rsidRDefault="001F782D" w:rsidP="00A10F5E">
            <w:pPr>
              <w:tabs>
                <w:tab w:val="left" w:pos="69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r w:rsidR="00F168CE" w:rsidRPr="001A7F8A">
              <w:rPr>
                <w:rFonts w:ascii="Times New Roman" w:hAnsi="Times New Roman" w:cs="Times New Roman"/>
                <w:color w:val="000000" w:themeColor="text1"/>
                <w:sz w:val="20"/>
                <w:szCs w:val="20"/>
              </w:rPr>
              <w:t>. Брой продадени винетки</w:t>
            </w:r>
          </w:p>
        </w:tc>
        <w:tc>
          <w:tcPr>
            <w:tcW w:w="851" w:type="dxa"/>
            <w:tcBorders>
              <w:top w:val="single" w:sz="4" w:space="0" w:color="auto"/>
              <w:bottom w:val="single" w:sz="4" w:space="0" w:color="auto"/>
            </w:tcBorders>
            <w:shd w:val="clear" w:color="auto" w:fill="F2F2F2" w:themeFill="background1" w:themeFillShade="F2"/>
            <w:vAlign w:val="center"/>
          </w:tcPr>
          <w:p w:rsidR="00F168CE" w:rsidRPr="001A7F8A" w:rsidRDefault="00761082" w:rsidP="0076108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брой</w:t>
            </w:r>
          </w:p>
        </w:tc>
        <w:tc>
          <w:tcPr>
            <w:tcW w:w="1275" w:type="dxa"/>
            <w:tcBorders>
              <w:top w:val="single" w:sz="4" w:space="0" w:color="auto"/>
              <w:bottom w:val="single" w:sz="4" w:space="0" w:color="auto"/>
            </w:tcBorders>
            <w:vAlign w:val="center"/>
          </w:tcPr>
          <w:p w:rsidR="00F168CE" w:rsidRPr="001A7F8A" w:rsidRDefault="00F168CE" w:rsidP="00761082">
            <w:pPr>
              <w:jc w:val="center"/>
              <w:rPr>
                <w:rFonts w:ascii="Times New Roman" w:hAnsi="Times New Roman" w:cs="Times New Roman"/>
                <w:sz w:val="20"/>
                <w:szCs w:val="20"/>
              </w:rPr>
            </w:pPr>
            <w:r w:rsidRPr="001A7F8A">
              <w:rPr>
                <w:rFonts w:ascii="Times New Roman" w:hAnsi="Times New Roman" w:cs="Times New Roman"/>
                <w:sz w:val="20"/>
                <w:szCs w:val="20"/>
              </w:rPr>
              <w:t>6 300 000</w:t>
            </w:r>
          </w:p>
        </w:tc>
        <w:tc>
          <w:tcPr>
            <w:tcW w:w="1134" w:type="dxa"/>
            <w:tcBorders>
              <w:top w:val="single" w:sz="4" w:space="0" w:color="auto"/>
              <w:bottom w:val="single" w:sz="4" w:space="0" w:color="auto"/>
            </w:tcBorders>
            <w:vAlign w:val="center"/>
          </w:tcPr>
          <w:p w:rsidR="00F168CE" w:rsidRPr="001A7F8A" w:rsidRDefault="00F168CE" w:rsidP="00761082">
            <w:pPr>
              <w:jc w:val="center"/>
              <w:rPr>
                <w:rFonts w:ascii="Times New Roman" w:hAnsi="Times New Roman" w:cs="Times New Roman"/>
                <w:sz w:val="20"/>
                <w:szCs w:val="20"/>
              </w:rPr>
            </w:pPr>
            <w:r w:rsidRPr="001A7F8A">
              <w:rPr>
                <w:rFonts w:ascii="Times New Roman" w:hAnsi="Times New Roman" w:cs="Times New Roman"/>
                <w:sz w:val="20"/>
                <w:szCs w:val="20"/>
              </w:rPr>
              <w:t>6 300 000</w:t>
            </w:r>
          </w:p>
        </w:tc>
        <w:tc>
          <w:tcPr>
            <w:tcW w:w="1276" w:type="dxa"/>
            <w:gridSpan w:val="2"/>
            <w:tcBorders>
              <w:top w:val="single" w:sz="4" w:space="0" w:color="auto"/>
              <w:bottom w:val="single" w:sz="4" w:space="0" w:color="auto"/>
            </w:tcBorders>
            <w:vAlign w:val="center"/>
          </w:tcPr>
          <w:p w:rsidR="00F168CE" w:rsidRPr="00F168CE" w:rsidRDefault="00F168CE" w:rsidP="00761082">
            <w:pPr>
              <w:jc w:val="center"/>
              <w:rPr>
                <w:rFonts w:ascii="Times New Roman" w:hAnsi="Times New Roman" w:cs="Times New Roman"/>
                <w:sz w:val="20"/>
                <w:szCs w:val="20"/>
              </w:rPr>
            </w:pPr>
            <w:r w:rsidRPr="001A7F8A">
              <w:rPr>
                <w:rFonts w:ascii="Times New Roman" w:hAnsi="Times New Roman" w:cs="Times New Roman"/>
                <w:sz w:val="20"/>
                <w:szCs w:val="20"/>
              </w:rPr>
              <w:t>6 300 000</w:t>
            </w:r>
          </w:p>
        </w:tc>
      </w:tr>
      <w:tr w:rsidR="0029525B" w:rsidRPr="0029525B" w:rsidTr="00C00BF9">
        <w:trPr>
          <w:gridAfter w:val="1"/>
          <w:wAfter w:w="1276" w:type="dxa"/>
          <w:trHeight w:val="377"/>
        </w:trPr>
        <w:tc>
          <w:tcPr>
            <w:tcW w:w="5245" w:type="dxa"/>
            <w:tcBorders>
              <w:top w:val="single" w:sz="4" w:space="0" w:color="auto"/>
              <w:bottom w:val="nil"/>
            </w:tcBorders>
          </w:tcPr>
          <w:p w:rsidR="0029525B" w:rsidRPr="0029525B" w:rsidRDefault="0029525B" w:rsidP="0029525B">
            <w:pPr>
              <w:jc w:val="both"/>
              <w:rPr>
                <w:rFonts w:ascii="Times New Roman" w:hAnsi="Times New Roman" w:cs="Times New Roman"/>
                <w:b/>
                <w:bCs/>
                <w:sz w:val="20"/>
                <w:szCs w:val="20"/>
              </w:rPr>
            </w:pPr>
            <w:r w:rsidRPr="0029525B">
              <w:rPr>
                <w:rFonts w:ascii="Times New Roman" w:eastAsia="Calibri" w:hAnsi="Times New Roman" w:cs="Times New Roman"/>
                <w:bCs/>
                <w:sz w:val="20"/>
                <w:szCs w:val="20"/>
                <w:lang w:val="en-US"/>
              </w:rPr>
              <w:t>1</w:t>
            </w:r>
            <w:r w:rsidR="001F782D">
              <w:rPr>
                <w:rFonts w:ascii="Times New Roman" w:eastAsia="Calibri" w:hAnsi="Times New Roman" w:cs="Times New Roman"/>
                <w:bCs/>
                <w:sz w:val="20"/>
                <w:szCs w:val="20"/>
              </w:rPr>
              <w:t>1</w:t>
            </w:r>
            <w:r w:rsidRPr="0029525B">
              <w:rPr>
                <w:rFonts w:ascii="Times New Roman" w:eastAsia="Calibri" w:hAnsi="Times New Roman" w:cs="Times New Roman"/>
                <w:bCs/>
                <w:sz w:val="20"/>
                <w:szCs w:val="20"/>
                <w:lang w:val="en-US"/>
              </w:rPr>
              <w:t>.</w:t>
            </w:r>
            <w:r w:rsidRPr="0029525B">
              <w:rPr>
                <w:rFonts w:ascii="Times New Roman" w:eastAsia="Calibri" w:hAnsi="Times New Roman" w:cs="Times New Roman"/>
                <w:bCs/>
                <w:sz w:val="20"/>
                <w:szCs w:val="20"/>
              </w:rPr>
              <w:t xml:space="preserve"> 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w:t>
            </w:r>
            <w:r w:rsidRPr="0029525B">
              <w:rPr>
                <w:rFonts w:ascii="Times New Roman" w:eastAsia="Calibri" w:hAnsi="Times New Roman" w:cs="Times New Roman"/>
                <w:bCs/>
                <w:sz w:val="20"/>
                <w:szCs w:val="20"/>
                <w:lang w:val="en-US"/>
              </w:rPr>
              <w:t xml:space="preserve">I, II </w:t>
            </w:r>
            <w:r w:rsidRPr="0029525B">
              <w:rPr>
                <w:rFonts w:ascii="Times New Roman" w:eastAsia="Calibri" w:hAnsi="Times New Roman" w:cs="Times New Roman"/>
                <w:bCs/>
                <w:sz w:val="20"/>
                <w:szCs w:val="20"/>
              </w:rPr>
              <w:t xml:space="preserve">и </w:t>
            </w:r>
            <w:r w:rsidRPr="0029525B">
              <w:rPr>
                <w:rFonts w:ascii="Times New Roman" w:eastAsia="Calibri" w:hAnsi="Times New Roman" w:cs="Times New Roman"/>
                <w:bCs/>
                <w:sz w:val="20"/>
                <w:szCs w:val="20"/>
                <w:lang w:val="en-US"/>
              </w:rPr>
              <w:t xml:space="preserve">III </w:t>
            </w:r>
            <w:r w:rsidRPr="0029525B">
              <w:rPr>
                <w:rFonts w:ascii="Times New Roman" w:eastAsia="Calibri" w:hAnsi="Times New Roman" w:cs="Times New Roman"/>
                <w:bCs/>
                <w:sz w:val="20"/>
                <w:szCs w:val="20"/>
              </w:rPr>
              <w:t xml:space="preserve">категория </w:t>
            </w:r>
          </w:p>
        </w:tc>
        <w:tc>
          <w:tcPr>
            <w:tcW w:w="851" w:type="dxa"/>
            <w:tcBorders>
              <w:top w:val="single" w:sz="4" w:space="0" w:color="auto"/>
              <w:bottom w:val="nil"/>
            </w:tcBorders>
            <w:shd w:val="clear" w:color="auto" w:fill="F2F2F2" w:themeFill="background1" w:themeFillShade="F2"/>
            <w:vAlign w:val="center"/>
          </w:tcPr>
          <w:p w:rsidR="0029525B" w:rsidRPr="0029525B" w:rsidRDefault="0029525B" w:rsidP="00C00BF9">
            <w:pPr>
              <w:jc w:val="center"/>
              <w:rPr>
                <w:rFonts w:ascii="Times New Roman" w:hAnsi="Times New Roman" w:cs="Times New Roman"/>
                <w:bCs/>
                <w:sz w:val="20"/>
                <w:szCs w:val="20"/>
              </w:rPr>
            </w:pPr>
            <w:r w:rsidRPr="0029525B">
              <w:rPr>
                <w:rFonts w:ascii="Times New Roman" w:hAnsi="Times New Roman" w:cs="Times New Roman"/>
                <w:bCs/>
                <w:sz w:val="20"/>
                <w:szCs w:val="20"/>
              </w:rPr>
              <w:t>%</w:t>
            </w:r>
          </w:p>
        </w:tc>
        <w:tc>
          <w:tcPr>
            <w:tcW w:w="1275" w:type="dxa"/>
            <w:tcBorders>
              <w:top w:val="single" w:sz="4" w:space="0" w:color="auto"/>
              <w:bottom w:val="nil"/>
            </w:tcBorders>
            <w:vAlign w:val="center"/>
          </w:tcPr>
          <w:p w:rsidR="0029525B" w:rsidRPr="0029525B" w:rsidRDefault="0029525B" w:rsidP="00C00BF9">
            <w:pPr>
              <w:jc w:val="center"/>
              <w:rPr>
                <w:rFonts w:ascii="Times New Roman" w:hAnsi="Times New Roman" w:cs="Times New Roman"/>
                <w:bCs/>
                <w:sz w:val="20"/>
                <w:szCs w:val="20"/>
              </w:rPr>
            </w:pPr>
            <w:r w:rsidRPr="0029525B">
              <w:rPr>
                <w:rFonts w:ascii="Times New Roman" w:hAnsi="Times New Roman" w:cs="Times New Roman"/>
                <w:bCs/>
                <w:sz w:val="20"/>
                <w:szCs w:val="20"/>
              </w:rPr>
              <w:t>100</w:t>
            </w:r>
          </w:p>
        </w:tc>
        <w:tc>
          <w:tcPr>
            <w:tcW w:w="1134" w:type="dxa"/>
            <w:tcBorders>
              <w:top w:val="single" w:sz="4" w:space="0" w:color="auto"/>
              <w:bottom w:val="nil"/>
            </w:tcBorders>
            <w:vAlign w:val="center"/>
          </w:tcPr>
          <w:p w:rsidR="0029525B" w:rsidRPr="0029525B" w:rsidRDefault="0029525B" w:rsidP="00C00BF9">
            <w:pPr>
              <w:jc w:val="center"/>
              <w:rPr>
                <w:rFonts w:ascii="Times New Roman" w:hAnsi="Times New Roman" w:cs="Times New Roman"/>
                <w:bCs/>
                <w:sz w:val="20"/>
                <w:szCs w:val="20"/>
              </w:rPr>
            </w:pPr>
            <w:r w:rsidRPr="0029525B">
              <w:rPr>
                <w:rFonts w:ascii="Times New Roman" w:hAnsi="Times New Roman" w:cs="Times New Roman"/>
                <w:bCs/>
                <w:sz w:val="20"/>
                <w:szCs w:val="20"/>
              </w:rPr>
              <w:t>100</w:t>
            </w:r>
          </w:p>
        </w:tc>
        <w:tc>
          <w:tcPr>
            <w:tcW w:w="1276" w:type="dxa"/>
            <w:gridSpan w:val="2"/>
            <w:tcBorders>
              <w:top w:val="single" w:sz="4" w:space="0" w:color="auto"/>
              <w:bottom w:val="nil"/>
            </w:tcBorders>
            <w:vAlign w:val="center"/>
          </w:tcPr>
          <w:p w:rsidR="0029525B" w:rsidRPr="0029525B" w:rsidRDefault="0029525B" w:rsidP="00C00BF9">
            <w:pPr>
              <w:jc w:val="center"/>
              <w:rPr>
                <w:rFonts w:ascii="Times New Roman" w:hAnsi="Times New Roman" w:cs="Times New Roman"/>
                <w:bCs/>
                <w:sz w:val="20"/>
                <w:szCs w:val="20"/>
              </w:rPr>
            </w:pPr>
            <w:r w:rsidRPr="0029525B">
              <w:rPr>
                <w:rFonts w:ascii="Times New Roman" w:hAnsi="Times New Roman" w:cs="Times New Roman"/>
                <w:bCs/>
                <w:sz w:val="20"/>
                <w:szCs w:val="20"/>
              </w:rPr>
              <w:t>100</w:t>
            </w:r>
          </w:p>
        </w:tc>
      </w:tr>
      <w:tr w:rsidR="0029525B" w:rsidRPr="0029525B" w:rsidTr="00C00BF9">
        <w:trPr>
          <w:gridAfter w:val="1"/>
          <w:wAfter w:w="1276" w:type="dxa"/>
          <w:trHeight w:val="377"/>
        </w:trPr>
        <w:tc>
          <w:tcPr>
            <w:tcW w:w="5245" w:type="dxa"/>
            <w:tcBorders>
              <w:top w:val="single" w:sz="4" w:space="0" w:color="auto"/>
              <w:bottom w:val="nil"/>
            </w:tcBorders>
          </w:tcPr>
          <w:p w:rsidR="0029525B" w:rsidRPr="0029525B" w:rsidRDefault="0029525B" w:rsidP="0029525B">
            <w:pPr>
              <w:rPr>
                <w:rFonts w:ascii="Times New Roman" w:hAnsi="Times New Roman" w:cs="Times New Roman"/>
                <w:b/>
                <w:bCs/>
                <w:sz w:val="20"/>
                <w:szCs w:val="20"/>
              </w:rPr>
            </w:pPr>
            <w:r>
              <w:rPr>
                <w:rFonts w:ascii="Times New Roman" w:hAnsi="Times New Roman" w:cs="Times New Roman"/>
                <w:sz w:val="20"/>
                <w:szCs w:val="20"/>
              </w:rPr>
              <w:t>1</w:t>
            </w:r>
            <w:r w:rsidR="001F782D">
              <w:rPr>
                <w:rFonts w:ascii="Times New Roman" w:hAnsi="Times New Roman" w:cs="Times New Roman"/>
                <w:sz w:val="20"/>
                <w:szCs w:val="20"/>
              </w:rPr>
              <w:t>2</w:t>
            </w:r>
            <w:r w:rsidRPr="0029525B">
              <w:rPr>
                <w:rFonts w:ascii="Times New Roman" w:hAnsi="Times New Roman" w:cs="Times New Roman"/>
                <w:b/>
                <w:sz w:val="20"/>
                <w:szCs w:val="20"/>
              </w:rPr>
              <w:t xml:space="preserve">. </w:t>
            </w:r>
            <w:r w:rsidRPr="0029525B">
              <w:rPr>
                <w:rFonts w:ascii="Times New Roman" w:eastAsia="Calibri" w:hAnsi="Times New Roman" w:cs="Times New Roman"/>
                <w:bCs/>
                <w:sz w:val="20"/>
                <w:szCs w:val="20"/>
              </w:rPr>
              <w:t xml:space="preserve">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 </w:t>
            </w:r>
          </w:p>
        </w:tc>
        <w:tc>
          <w:tcPr>
            <w:tcW w:w="851" w:type="dxa"/>
            <w:tcBorders>
              <w:top w:val="single" w:sz="4" w:space="0" w:color="auto"/>
              <w:bottom w:val="single" w:sz="4" w:space="0" w:color="auto"/>
            </w:tcBorders>
            <w:shd w:val="clear" w:color="auto" w:fill="F2F2F2" w:themeFill="background1" w:themeFillShade="F2"/>
            <w:vAlign w:val="center"/>
          </w:tcPr>
          <w:p w:rsidR="0029525B" w:rsidRPr="0029525B" w:rsidRDefault="0029525B" w:rsidP="00C00BF9">
            <w:pPr>
              <w:jc w:val="center"/>
              <w:rPr>
                <w:rFonts w:ascii="Times New Roman" w:hAnsi="Times New Roman" w:cs="Times New Roman"/>
                <w:bCs/>
                <w:sz w:val="20"/>
                <w:szCs w:val="20"/>
              </w:rPr>
            </w:pPr>
            <w:r w:rsidRPr="0029525B">
              <w:rPr>
                <w:rFonts w:ascii="Times New Roman" w:hAnsi="Times New Roman" w:cs="Times New Roman"/>
                <w:bCs/>
                <w:sz w:val="20"/>
                <w:szCs w:val="20"/>
              </w:rPr>
              <w:t>%</w:t>
            </w:r>
          </w:p>
        </w:tc>
        <w:tc>
          <w:tcPr>
            <w:tcW w:w="1275" w:type="dxa"/>
            <w:tcBorders>
              <w:top w:val="single" w:sz="4" w:space="0" w:color="auto"/>
              <w:bottom w:val="single" w:sz="4" w:space="0" w:color="auto"/>
            </w:tcBorders>
            <w:vAlign w:val="center"/>
          </w:tcPr>
          <w:p w:rsidR="0029525B" w:rsidRPr="0029525B" w:rsidRDefault="0029525B" w:rsidP="00C00BF9">
            <w:pPr>
              <w:jc w:val="center"/>
              <w:rPr>
                <w:rFonts w:ascii="Times New Roman" w:hAnsi="Times New Roman" w:cs="Times New Roman"/>
                <w:bCs/>
                <w:sz w:val="20"/>
                <w:szCs w:val="20"/>
                <w:lang w:val="en-US"/>
              </w:rPr>
            </w:pPr>
            <w:r w:rsidRPr="0029525B">
              <w:rPr>
                <w:rFonts w:ascii="Times New Roman" w:hAnsi="Times New Roman" w:cs="Times New Roman"/>
                <w:bCs/>
                <w:sz w:val="20"/>
                <w:szCs w:val="20"/>
                <w:lang w:val="en-US"/>
              </w:rPr>
              <w:t>Min.(1)</w:t>
            </w:r>
          </w:p>
        </w:tc>
        <w:tc>
          <w:tcPr>
            <w:tcW w:w="1134" w:type="dxa"/>
            <w:tcBorders>
              <w:top w:val="single" w:sz="4" w:space="0" w:color="auto"/>
              <w:bottom w:val="single" w:sz="4" w:space="0" w:color="auto"/>
            </w:tcBorders>
            <w:vAlign w:val="center"/>
          </w:tcPr>
          <w:p w:rsidR="0029525B" w:rsidRPr="0029525B" w:rsidRDefault="0029525B" w:rsidP="00C00BF9">
            <w:pPr>
              <w:jc w:val="center"/>
              <w:rPr>
                <w:rFonts w:ascii="Times New Roman" w:hAnsi="Times New Roman" w:cs="Times New Roman"/>
                <w:bCs/>
                <w:sz w:val="20"/>
                <w:szCs w:val="20"/>
                <w:lang w:val="en-US"/>
              </w:rPr>
            </w:pPr>
            <w:r w:rsidRPr="0029525B">
              <w:rPr>
                <w:rFonts w:ascii="Times New Roman" w:hAnsi="Times New Roman" w:cs="Times New Roman"/>
                <w:bCs/>
                <w:sz w:val="20"/>
                <w:szCs w:val="20"/>
                <w:lang w:val="en-US"/>
              </w:rPr>
              <w:t>Min.(1)</w:t>
            </w:r>
          </w:p>
        </w:tc>
        <w:tc>
          <w:tcPr>
            <w:tcW w:w="1276" w:type="dxa"/>
            <w:gridSpan w:val="2"/>
            <w:tcBorders>
              <w:top w:val="single" w:sz="4" w:space="0" w:color="auto"/>
              <w:bottom w:val="single" w:sz="4" w:space="0" w:color="auto"/>
            </w:tcBorders>
            <w:vAlign w:val="center"/>
          </w:tcPr>
          <w:p w:rsidR="0029525B" w:rsidRPr="0029525B" w:rsidRDefault="0029525B" w:rsidP="00C00BF9">
            <w:pPr>
              <w:jc w:val="center"/>
              <w:rPr>
                <w:rFonts w:ascii="Times New Roman" w:hAnsi="Times New Roman" w:cs="Times New Roman"/>
                <w:bCs/>
                <w:sz w:val="20"/>
                <w:szCs w:val="20"/>
                <w:lang w:val="en-US"/>
              </w:rPr>
            </w:pPr>
            <w:r w:rsidRPr="0029525B">
              <w:rPr>
                <w:rFonts w:ascii="Times New Roman" w:hAnsi="Times New Roman" w:cs="Times New Roman"/>
                <w:bCs/>
                <w:sz w:val="20"/>
                <w:szCs w:val="20"/>
                <w:lang w:val="en-US"/>
              </w:rPr>
              <w:t>Min.(1)</w:t>
            </w:r>
          </w:p>
        </w:tc>
      </w:tr>
      <w:tr w:rsidR="0029525B" w:rsidRPr="0029525B" w:rsidTr="00C00BF9">
        <w:trPr>
          <w:gridAfter w:val="1"/>
          <w:wAfter w:w="1276" w:type="dxa"/>
          <w:trHeight w:val="377"/>
        </w:trPr>
        <w:tc>
          <w:tcPr>
            <w:tcW w:w="5245" w:type="dxa"/>
            <w:tcBorders>
              <w:top w:val="single" w:sz="4" w:space="0" w:color="auto"/>
              <w:bottom w:val="single" w:sz="4" w:space="0" w:color="auto"/>
            </w:tcBorders>
          </w:tcPr>
          <w:p w:rsidR="0029525B" w:rsidRPr="0029525B" w:rsidRDefault="0029525B" w:rsidP="0029525B">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1F782D">
              <w:rPr>
                <w:rFonts w:ascii="Times New Roman" w:hAnsi="Times New Roman" w:cs="Times New Roman"/>
                <w:color w:val="000000" w:themeColor="text1"/>
                <w:sz w:val="20"/>
                <w:szCs w:val="20"/>
              </w:rPr>
              <w:t>3</w:t>
            </w:r>
            <w:r w:rsidRPr="0029525B">
              <w:rPr>
                <w:rFonts w:ascii="Times New Roman" w:hAnsi="Times New Roman" w:cs="Times New Roman"/>
                <w:color w:val="000000" w:themeColor="text1"/>
                <w:sz w:val="20"/>
                <w:szCs w:val="20"/>
              </w:rPr>
              <w:t>. Поддържане на валидни сертификати, издадени на производители на строителни продукти, от лица за оценяване на строителни продукти</w:t>
            </w:r>
          </w:p>
        </w:tc>
        <w:tc>
          <w:tcPr>
            <w:tcW w:w="851" w:type="dxa"/>
            <w:tcBorders>
              <w:top w:val="single" w:sz="4" w:space="0" w:color="auto"/>
              <w:bottom w:val="single" w:sz="4" w:space="0" w:color="auto"/>
            </w:tcBorders>
            <w:shd w:val="clear" w:color="auto" w:fill="F2F2F2" w:themeFill="background1" w:themeFillShade="F2"/>
            <w:vAlign w:val="center"/>
          </w:tcPr>
          <w:p w:rsidR="0029525B" w:rsidRPr="0029525B" w:rsidRDefault="0029525B" w:rsidP="00C00BF9">
            <w:pPr>
              <w:jc w:val="center"/>
              <w:rPr>
                <w:rFonts w:ascii="Times New Roman" w:hAnsi="Times New Roman" w:cs="Times New Roman"/>
                <w:sz w:val="20"/>
                <w:szCs w:val="20"/>
              </w:rPr>
            </w:pPr>
            <w:r w:rsidRPr="0029525B">
              <w:rPr>
                <w:rFonts w:ascii="Times New Roman" w:hAnsi="Times New Roman" w:cs="Times New Roman"/>
                <w:sz w:val="20"/>
                <w:szCs w:val="20"/>
              </w:rPr>
              <w:t>брой</w:t>
            </w:r>
          </w:p>
        </w:tc>
        <w:tc>
          <w:tcPr>
            <w:tcW w:w="1275" w:type="dxa"/>
            <w:tcBorders>
              <w:top w:val="single" w:sz="4" w:space="0" w:color="auto"/>
              <w:bottom w:val="single" w:sz="4" w:space="0" w:color="auto"/>
            </w:tcBorders>
            <w:vAlign w:val="center"/>
          </w:tcPr>
          <w:p w:rsidR="0029525B" w:rsidRPr="0029525B" w:rsidRDefault="0029525B" w:rsidP="00C00BF9">
            <w:pPr>
              <w:jc w:val="center"/>
              <w:rPr>
                <w:rFonts w:ascii="Times New Roman" w:hAnsi="Times New Roman" w:cs="Times New Roman"/>
                <w:color w:val="000000" w:themeColor="text1"/>
                <w:sz w:val="20"/>
                <w:szCs w:val="20"/>
              </w:rPr>
            </w:pPr>
            <w:r w:rsidRPr="0029525B">
              <w:rPr>
                <w:rFonts w:ascii="Times New Roman" w:hAnsi="Times New Roman" w:cs="Times New Roman"/>
                <w:color w:val="000000" w:themeColor="text1"/>
                <w:sz w:val="20"/>
                <w:szCs w:val="20"/>
              </w:rPr>
              <w:t>800</w:t>
            </w:r>
          </w:p>
        </w:tc>
        <w:tc>
          <w:tcPr>
            <w:tcW w:w="1134" w:type="dxa"/>
            <w:tcBorders>
              <w:top w:val="single" w:sz="4" w:space="0" w:color="auto"/>
              <w:bottom w:val="single" w:sz="4" w:space="0" w:color="auto"/>
            </w:tcBorders>
            <w:vAlign w:val="center"/>
          </w:tcPr>
          <w:p w:rsidR="0029525B" w:rsidRPr="0029525B" w:rsidRDefault="0029525B" w:rsidP="00C00BF9">
            <w:pPr>
              <w:jc w:val="center"/>
              <w:rPr>
                <w:rFonts w:ascii="Times New Roman" w:hAnsi="Times New Roman" w:cs="Times New Roman"/>
                <w:color w:val="000000" w:themeColor="text1"/>
                <w:sz w:val="20"/>
                <w:szCs w:val="20"/>
              </w:rPr>
            </w:pPr>
            <w:r w:rsidRPr="0029525B">
              <w:rPr>
                <w:rFonts w:ascii="Times New Roman" w:hAnsi="Times New Roman" w:cs="Times New Roman"/>
                <w:color w:val="000000" w:themeColor="text1"/>
                <w:sz w:val="20"/>
                <w:szCs w:val="20"/>
              </w:rPr>
              <w:t>800</w:t>
            </w:r>
          </w:p>
        </w:tc>
        <w:tc>
          <w:tcPr>
            <w:tcW w:w="1276" w:type="dxa"/>
            <w:gridSpan w:val="2"/>
            <w:tcBorders>
              <w:top w:val="single" w:sz="4" w:space="0" w:color="auto"/>
              <w:bottom w:val="single" w:sz="4" w:space="0" w:color="auto"/>
            </w:tcBorders>
            <w:vAlign w:val="center"/>
          </w:tcPr>
          <w:p w:rsidR="0029525B" w:rsidRPr="0029525B" w:rsidRDefault="0029525B" w:rsidP="00C00BF9">
            <w:pPr>
              <w:jc w:val="center"/>
              <w:rPr>
                <w:rFonts w:ascii="Times New Roman" w:hAnsi="Times New Roman" w:cs="Times New Roman"/>
                <w:color w:val="000000" w:themeColor="text1"/>
                <w:sz w:val="20"/>
                <w:szCs w:val="20"/>
              </w:rPr>
            </w:pPr>
            <w:r w:rsidRPr="0029525B">
              <w:rPr>
                <w:rFonts w:ascii="Times New Roman" w:hAnsi="Times New Roman" w:cs="Times New Roman"/>
                <w:color w:val="000000" w:themeColor="text1"/>
                <w:sz w:val="20"/>
                <w:szCs w:val="20"/>
                <w:lang w:val="en-US"/>
              </w:rPr>
              <w:t>800</w:t>
            </w:r>
          </w:p>
        </w:tc>
      </w:tr>
      <w:tr w:rsidR="0029525B" w:rsidRPr="0029525B" w:rsidTr="00C00BF9">
        <w:trPr>
          <w:gridAfter w:val="1"/>
          <w:wAfter w:w="1276" w:type="dxa"/>
          <w:trHeight w:val="377"/>
        </w:trPr>
        <w:tc>
          <w:tcPr>
            <w:tcW w:w="5245" w:type="dxa"/>
            <w:tcBorders>
              <w:top w:val="nil"/>
              <w:bottom w:val="single" w:sz="4" w:space="0" w:color="auto"/>
            </w:tcBorders>
          </w:tcPr>
          <w:p w:rsidR="0029525B" w:rsidRPr="0029525B" w:rsidRDefault="0029525B" w:rsidP="0029525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1F782D">
              <w:rPr>
                <w:rFonts w:ascii="Times New Roman" w:hAnsi="Times New Roman" w:cs="Times New Roman"/>
                <w:color w:val="000000" w:themeColor="text1"/>
                <w:sz w:val="20"/>
                <w:szCs w:val="20"/>
              </w:rPr>
              <w:t>4</w:t>
            </w:r>
            <w:r w:rsidRPr="0029525B">
              <w:rPr>
                <w:rFonts w:ascii="Times New Roman" w:hAnsi="Times New Roman" w:cs="Times New Roman"/>
                <w:color w:val="000000" w:themeColor="text1"/>
                <w:sz w:val="20"/>
                <w:szCs w:val="20"/>
              </w:rPr>
              <w:t>. 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Европейския съюз</w:t>
            </w:r>
          </w:p>
        </w:tc>
        <w:tc>
          <w:tcPr>
            <w:tcW w:w="851" w:type="dxa"/>
            <w:tcBorders>
              <w:top w:val="nil"/>
              <w:bottom w:val="single" w:sz="4" w:space="0" w:color="auto"/>
            </w:tcBorders>
            <w:shd w:val="clear" w:color="auto" w:fill="F2F2F2" w:themeFill="background1" w:themeFillShade="F2"/>
            <w:vAlign w:val="center"/>
          </w:tcPr>
          <w:p w:rsidR="0029525B" w:rsidRPr="0029525B" w:rsidRDefault="0029525B" w:rsidP="00C00BF9">
            <w:pPr>
              <w:jc w:val="center"/>
              <w:rPr>
                <w:rFonts w:ascii="Times New Roman" w:hAnsi="Times New Roman" w:cs="Times New Roman"/>
                <w:sz w:val="20"/>
                <w:szCs w:val="20"/>
              </w:rPr>
            </w:pPr>
            <w:r w:rsidRPr="0029525B">
              <w:rPr>
                <w:rFonts w:ascii="Times New Roman" w:hAnsi="Times New Roman" w:cs="Times New Roman"/>
                <w:sz w:val="20"/>
                <w:szCs w:val="20"/>
              </w:rPr>
              <w:t>брой</w:t>
            </w:r>
          </w:p>
        </w:tc>
        <w:tc>
          <w:tcPr>
            <w:tcW w:w="1275" w:type="dxa"/>
            <w:tcBorders>
              <w:top w:val="nil"/>
              <w:bottom w:val="single" w:sz="4" w:space="0" w:color="auto"/>
            </w:tcBorders>
            <w:vAlign w:val="center"/>
          </w:tcPr>
          <w:p w:rsidR="0029525B" w:rsidRPr="0029525B" w:rsidRDefault="0029525B" w:rsidP="00C00BF9">
            <w:pPr>
              <w:jc w:val="center"/>
              <w:rPr>
                <w:rFonts w:ascii="Times New Roman" w:hAnsi="Times New Roman" w:cs="Times New Roman"/>
                <w:color w:val="000000" w:themeColor="text1"/>
                <w:sz w:val="20"/>
                <w:szCs w:val="20"/>
                <w:lang w:val="en-US"/>
              </w:rPr>
            </w:pPr>
            <w:r w:rsidRPr="0029525B">
              <w:rPr>
                <w:rFonts w:ascii="Times New Roman" w:hAnsi="Times New Roman" w:cs="Times New Roman"/>
                <w:color w:val="000000" w:themeColor="text1"/>
                <w:sz w:val="20"/>
                <w:szCs w:val="20"/>
                <w:lang w:val="en-US"/>
              </w:rPr>
              <w:t>5</w:t>
            </w:r>
          </w:p>
        </w:tc>
        <w:tc>
          <w:tcPr>
            <w:tcW w:w="1134" w:type="dxa"/>
            <w:tcBorders>
              <w:top w:val="nil"/>
              <w:bottom w:val="single" w:sz="4" w:space="0" w:color="auto"/>
            </w:tcBorders>
            <w:vAlign w:val="center"/>
          </w:tcPr>
          <w:p w:rsidR="0029525B" w:rsidRPr="0029525B" w:rsidRDefault="0029525B" w:rsidP="00C00BF9">
            <w:pPr>
              <w:jc w:val="center"/>
              <w:rPr>
                <w:rFonts w:ascii="Times New Roman" w:hAnsi="Times New Roman" w:cs="Times New Roman"/>
                <w:color w:val="000000" w:themeColor="text1"/>
                <w:sz w:val="20"/>
                <w:szCs w:val="20"/>
                <w:lang w:val="en-US"/>
              </w:rPr>
            </w:pPr>
            <w:r w:rsidRPr="0029525B">
              <w:rPr>
                <w:rFonts w:ascii="Times New Roman" w:hAnsi="Times New Roman" w:cs="Times New Roman"/>
                <w:color w:val="000000" w:themeColor="text1"/>
                <w:sz w:val="20"/>
                <w:szCs w:val="20"/>
                <w:lang w:val="en-US"/>
              </w:rPr>
              <w:t>5</w:t>
            </w:r>
          </w:p>
        </w:tc>
        <w:tc>
          <w:tcPr>
            <w:tcW w:w="1276" w:type="dxa"/>
            <w:gridSpan w:val="2"/>
            <w:tcBorders>
              <w:top w:val="nil"/>
              <w:bottom w:val="single" w:sz="4" w:space="0" w:color="auto"/>
            </w:tcBorders>
            <w:vAlign w:val="center"/>
          </w:tcPr>
          <w:p w:rsidR="0029525B" w:rsidRPr="0029525B" w:rsidRDefault="0029525B" w:rsidP="00C00BF9">
            <w:pPr>
              <w:jc w:val="center"/>
              <w:rPr>
                <w:rFonts w:ascii="Times New Roman" w:hAnsi="Times New Roman" w:cs="Times New Roman"/>
                <w:color w:val="000000" w:themeColor="text1"/>
                <w:sz w:val="20"/>
                <w:szCs w:val="20"/>
                <w:lang w:val="en-US"/>
              </w:rPr>
            </w:pPr>
            <w:r w:rsidRPr="0029525B">
              <w:rPr>
                <w:rFonts w:ascii="Times New Roman" w:hAnsi="Times New Roman" w:cs="Times New Roman"/>
                <w:color w:val="000000" w:themeColor="text1"/>
                <w:sz w:val="20"/>
                <w:szCs w:val="20"/>
                <w:lang w:val="en-US"/>
              </w:rPr>
              <w:t>5</w:t>
            </w:r>
          </w:p>
        </w:tc>
      </w:tr>
      <w:tr w:rsidR="0029525B" w:rsidRPr="0029525B" w:rsidTr="00C00BF9">
        <w:trPr>
          <w:gridAfter w:val="1"/>
          <w:wAfter w:w="1276" w:type="dxa"/>
          <w:trHeight w:val="377"/>
        </w:trPr>
        <w:tc>
          <w:tcPr>
            <w:tcW w:w="5245" w:type="dxa"/>
            <w:tcBorders>
              <w:top w:val="single" w:sz="4" w:space="0" w:color="auto"/>
              <w:bottom w:val="single" w:sz="4" w:space="0" w:color="auto"/>
            </w:tcBorders>
          </w:tcPr>
          <w:p w:rsidR="0029525B" w:rsidRPr="0029525B" w:rsidRDefault="0029525B" w:rsidP="0029525B">
            <w:pPr>
              <w:jc w:val="both"/>
              <w:rPr>
                <w:rFonts w:ascii="Times New Roman" w:hAnsi="Times New Roman" w:cs="Times New Roman"/>
                <w:sz w:val="20"/>
                <w:szCs w:val="20"/>
              </w:rPr>
            </w:pPr>
            <w:r>
              <w:rPr>
                <w:rFonts w:ascii="Times New Roman" w:hAnsi="Times New Roman" w:cs="Times New Roman"/>
                <w:sz w:val="20"/>
                <w:szCs w:val="20"/>
              </w:rPr>
              <w:t>1</w:t>
            </w:r>
            <w:r w:rsidR="001F782D">
              <w:rPr>
                <w:rFonts w:ascii="Times New Roman" w:hAnsi="Times New Roman" w:cs="Times New Roman"/>
                <w:sz w:val="20"/>
                <w:szCs w:val="20"/>
              </w:rPr>
              <w:t>5</w:t>
            </w:r>
            <w:r w:rsidRPr="0029525B">
              <w:rPr>
                <w:rFonts w:ascii="Times New Roman" w:hAnsi="Times New Roman" w:cs="Times New Roman"/>
                <w:sz w:val="20"/>
                <w:szCs w:val="20"/>
              </w:rPr>
              <w:t>. Поддържане на регулаторна база от технически нормативни актове за обследване, проектиране, изграждане и поддържане на строежите</w:t>
            </w:r>
          </w:p>
        </w:tc>
        <w:tc>
          <w:tcPr>
            <w:tcW w:w="851" w:type="dxa"/>
            <w:tcBorders>
              <w:top w:val="single" w:sz="4" w:space="0" w:color="auto"/>
              <w:bottom w:val="single" w:sz="4" w:space="0" w:color="auto"/>
            </w:tcBorders>
            <w:shd w:val="clear" w:color="auto" w:fill="F2F2F2" w:themeFill="background1" w:themeFillShade="F2"/>
            <w:vAlign w:val="center"/>
          </w:tcPr>
          <w:p w:rsidR="0029525B" w:rsidRPr="0029525B" w:rsidRDefault="0029525B" w:rsidP="00C00BF9">
            <w:pPr>
              <w:jc w:val="center"/>
              <w:rPr>
                <w:rFonts w:ascii="Times New Roman" w:hAnsi="Times New Roman" w:cs="Times New Roman"/>
                <w:sz w:val="20"/>
                <w:szCs w:val="20"/>
              </w:rPr>
            </w:pPr>
            <w:r w:rsidRPr="0029525B">
              <w:rPr>
                <w:rFonts w:ascii="Times New Roman" w:hAnsi="Times New Roman" w:cs="Times New Roman"/>
                <w:sz w:val="20"/>
                <w:szCs w:val="20"/>
              </w:rPr>
              <w:t>брой</w:t>
            </w:r>
          </w:p>
        </w:tc>
        <w:tc>
          <w:tcPr>
            <w:tcW w:w="1275" w:type="dxa"/>
            <w:tcBorders>
              <w:top w:val="single" w:sz="4" w:space="0" w:color="auto"/>
              <w:bottom w:val="single" w:sz="4" w:space="0" w:color="auto"/>
            </w:tcBorders>
            <w:vAlign w:val="center"/>
          </w:tcPr>
          <w:p w:rsidR="0029525B" w:rsidRPr="0029525B" w:rsidRDefault="0029525B" w:rsidP="00C00BF9">
            <w:pPr>
              <w:jc w:val="center"/>
              <w:rPr>
                <w:rFonts w:ascii="Times New Roman" w:hAnsi="Times New Roman" w:cs="Times New Roman"/>
                <w:sz w:val="20"/>
                <w:szCs w:val="20"/>
              </w:rPr>
            </w:pPr>
            <w:r w:rsidRPr="0029525B">
              <w:rPr>
                <w:rFonts w:ascii="Times New Roman" w:hAnsi="Times New Roman" w:cs="Times New Roman"/>
                <w:sz w:val="20"/>
                <w:szCs w:val="20"/>
              </w:rPr>
              <w:t>73</w:t>
            </w:r>
          </w:p>
        </w:tc>
        <w:tc>
          <w:tcPr>
            <w:tcW w:w="1134" w:type="dxa"/>
            <w:tcBorders>
              <w:top w:val="single" w:sz="4" w:space="0" w:color="auto"/>
              <w:bottom w:val="single" w:sz="4" w:space="0" w:color="auto"/>
            </w:tcBorders>
            <w:vAlign w:val="center"/>
          </w:tcPr>
          <w:p w:rsidR="0029525B" w:rsidRPr="0029525B" w:rsidRDefault="0029525B" w:rsidP="00C00BF9">
            <w:pPr>
              <w:jc w:val="center"/>
              <w:rPr>
                <w:rFonts w:ascii="Times New Roman" w:hAnsi="Times New Roman" w:cs="Times New Roman"/>
                <w:sz w:val="20"/>
                <w:szCs w:val="20"/>
              </w:rPr>
            </w:pPr>
            <w:r w:rsidRPr="0029525B">
              <w:rPr>
                <w:rFonts w:ascii="Times New Roman" w:hAnsi="Times New Roman" w:cs="Times New Roman"/>
                <w:sz w:val="20"/>
                <w:szCs w:val="20"/>
              </w:rPr>
              <w:t>75</w:t>
            </w:r>
          </w:p>
        </w:tc>
        <w:tc>
          <w:tcPr>
            <w:tcW w:w="1276" w:type="dxa"/>
            <w:gridSpan w:val="2"/>
            <w:tcBorders>
              <w:top w:val="single" w:sz="4" w:space="0" w:color="auto"/>
              <w:bottom w:val="single" w:sz="4" w:space="0" w:color="auto"/>
            </w:tcBorders>
            <w:vAlign w:val="center"/>
          </w:tcPr>
          <w:p w:rsidR="0029525B" w:rsidRPr="0029525B" w:rsidRDefault="0029525B" w:rsidP="00C00BF9">
            <w:pPr>
              <w:jc w:val="center"/>
              <w:rPr>
                <w:rFonts w:ascii="Times New Roman" w:hAnsi="Times New Roman" w:cs="Times New Roman"/>
                <w:sz w:val="20"/>
                <w:szCs w:val="20"/>
              </w:rPr>
            </w:pPr>
            <w:r w:rsidRPr="0029525B">
              <w:rPr>
                <w:rFonts w:ascii="Times New Roman" w:hAnsi="Times New Roman" w:cs="Times New Roman"/>
                <w:sz w:val="20"/>
                <w:szCs w:val="20"/>
              </w:rPr>
              <w:t>75</w:t>
            </w:r>
          </w:p>
        </w:tc>
      </w:tr>
    </w:tbl>
    <w:p w:rsidR="005D27F6" w:rsidRDefault="005D27F6" w:rsidP="00A10F5E">
      <w:pPr>
        <w:spacing w:after="0" w:line="240" w:lineRule="auto"/>
        <w:ind w:firstLine="567"/>
        <w:contextualSpacing/>
        <w:jc w:val="both"/>
        <w:rPr>
          <w:rFonts w:ascii="Times New Roman" w:eastAsia="Calibri" w:hAnsi="Times New Roman" w:cs="Times New Roman"/>
          <w:b/>
          <w:i/>
          <w:color w:val="0000CC"/>
        </w:rPr>
      </w:pPr>
    </w:p>
    <w:p w:rsidR="000B4309" w:rsidRPr="000B4309" w:rsidRDefault="000B4309" w:rsidP="00A10F5E">
      <w:pPr>
        <w:spacing w:after="0" w:line="240" w:lineRule="auto"/>
        <w:ind w:firstLine="567"/>
        <w:contextualSpacing/>
        <w:jc w:val="both"/>
        <w:rPr>
          <w:rFonts w:ascii="Times New Roman" w:eastAsia="Calibri" w:hAnsi="Times New Roman" w:cs="Times New Roman"/>
          <w:b/>
          <w:i/>
          <w:color w:val="0000CC"/>
        </w:rPr>
      </w:pPr>
      <w:r w:rsidRPr="000B4309">
        <w:rPr>
          <w:rFonts w:ascii="Times New Roman" w:eastAsia="Calibri" w:hAnsi="Times New Roman" w:cs="Times New Roman"/>
          <w:b/>
          <w:i/>
          <w:color w:val="0000CC"/>
        </w:rPr>
        <w:t>Мотиви за промяна в целевата стойност на индикатори, съгласно утвърдените с РМС №</w:t>
      </w:r>
      <w:r w:rsidR="00E34AB2">
        <w:rPr>
          <w:rFonts w:ascii="Times New Roman" w:eastAsia="Calibri" w:hAnsi="Times New Roman" w:cs="Times New Roman"/>
          <w:b/>
          <w:i/>
          <w:color w:val="0000CC"/>
        </w:rPr>
        <w:t xml:space="preserve"> </w:t>
      </w:r>
      <w:r w:rsidRPr="000B4309">
        <w:rPr>
          <w:rFonts w:ascii="Times New Roman" w:eastAsia="Calibri" w:hAnsi="Times New Roman" w:cs="Times New Roman"/>
          <w:b/>
          <w:i/>
          <w:color w:val="0000CC"/>
        </w:rPr>
        <w:t>963/2020 г.:</w:t>
      </w:r>
    </w:p>
    <w:p w:rsidR="00992768" w:rsidRDefault="00992768" w:rsidP="00EE699D">
      <w:pPr>
        <w:pStyle w:val="ListParagraph"/>
        <w:numPr>
          <w:ilvl w:val="0"/>
          <w:numId w:val="35"/>
        </w:numPr>
        <w:tabs>
          <w:tab w:val="left" w:pos="851"/>
        </w:tabs>
        <w:spacing w:after="0" w:line="240" w:lineRule="auto"/>
        <w:ind w:left="0" w:firstLine="567"/>
        <w:jc w:val="both"/>
        <w:rPr>
          <w:rFonts w:ascii="Times New Roman" w:eastAsia="Calibri" w:hAnsi="Times New Roman" w:cs="Times New Roman"/>
        </w:rPr>
      </w:pPr>
      <w:r>
        <w:rPr>
          <w:rFonts w:ascii="Times New Roman" w:eastAsia="Calibri" w:hAnsi="Times New Roman" w:cs="Times New Roman"/>
        </w:rPr>
        <w:t>Индикатор „Завършени геозащитни обекти/брегоукрепени участъци“ се разделя на 2 отделни индикатора – на „Завършени геозащитни обекти“ и на „Брегоукрепване“, с цел точност при отчитането им;</w:t>
      </w:r>
    </w:p>
    <w:p w:rsidR="000B4309" w:rsidRPr="00992768" w:rsidRDefault="000B4309" w:rsidP="00992768">
      <w:pPr>
        <w:pStyle w:val="ListParagraph"/>
        <w:numPr>
          <w:ilvl w:val="0"/>
          <w:numId w:val="1"/>
        </w:numPr>
        <w:tabs>
          <w:tab w:val="left" w:pos="851"/>
        </w:tabs>
        <w:spacing w:after="0" w:line="240" w:lineRule="auto"/>
        <w:ind w:left="0" w:firstLine="567"/>
        <w:jc w:val="both"/>
        <w:rPr>
          <w:rFonts w:ascii="Times New Roman" w:eastAsia="Calibri" w:hAnsi="Times New Roman" w:cs="Times New Roman"/>
        </w:rPr>
      </w:pPr>
      <w:r w:rsidRPr="00992768">
        <w:rPr>
          <w:rFonts w:ascii="Times New Roman" w:eastAsia="Calibri" w:hAnsi="Times New Roman" w:cs="Times New Roman"/>
        </w:rPr>
        <w:t xml:space="preserve">С оглед изпълнение на нормативно възложените функции на МРРБ за извършване на превантивни дейности по регистриране и мониторинг на свлачищни райони на територията на </w:t>
      </w:r>
      <w:r w:rsidRPr="00992768">
        <w:rPr>
          <w:rFonts w:ascii="Times New Roman" w:eastAsia="Calibri" w:hAnsi="Times New Roman" w:cs="Times New Roman"/>
        </w:rPr>
        <w:lastRenderedPageBreak/>
        <w:t xml:space="preserve">Република България съгласно чл. 95, ал. 1 от ЗУТ,  в т.ч. на абразионните и ерозионните процеси по Черноморското и Дунавското крайбрежие, като превантивни мерки за предотвратяване на аварии и щети, които се осъществяват от МРРБ чрез Държавното дружество за геозащита и неговите клонове приоритетно са увеличени финансовите средства за този вид дейност, като е предвидено да се увеличи контролирана свлачищна територия чрез извършване на мониторинг, като </w:t>
      </w:r>
      <w:r w:rsidR="00997364">
        <w:rPr>
          <w:rFonts w:ascii="Times New Roman" w:eastAsia="Calibri" w:hAnsi="Times New Roman" w:cs="Times New Roman"/>
          <w:b/>
          <w:i/>
        </w:rPr>
        <w:t>индикатор</w:t>
      </w:r>
      <w:r w:rsidRPr="00992768">
        <w:rPr>
          <w:rFonts w:ascii="Times New Roman" w:eastAsia="Calibri" w:hAnsi="Times New Roman" w:cs="Times New Roman"/>
          <w:b/>
          <w:i/>
        </w:rPr>
        <w:t xml:space="preserve"> „Контролирана свлачища територия</w:t>
      </w:r>
      <w:r w:rsidR="00992768">
        <w:rPr>
          <w:rFonts w:ascii="Times New Roman" w:eastAsia="Calibri" w:hAnsi="Times New Roman" w:cs="Times New Roman"/>
        </w:rPr>
        <w:t xml:space="preserve">“ от 800 ха на 1000 ха. </w:t>
      </w:r>
      <w:r w:rsidRPr="00992768">
        <w:rPr>
          <w:rFonts w:ascii="Times New Roman" w:eastAsia="Calibri" w:hAnsi="Times New Roman" w:cs="Times New Roman"/>
        </w:rPr>
        <w:t>Мониторингът на свлачищните райони е приоритет на МРРБ, поради което през 2021 г. са изградени нови контролно-измервателни системи за мониторинг на 26 свлачищни райони на територията на страната по процедура за предоставяне на безвъзмездна финансова помощ BG16M1OP002-4.003 „Превенция и противодействие на свлачищните процеси за ограничаване на риска от тях (вкл. по републиканска пътна мрежа), по приоритетна ос 4 „Превенция и управление на риска от наводнения и свлачища“ на Оперативна програма „Околна среда 2014-2020 г.”, в рамките на проект „Превантивни дейности чрез изграждане/ възстановяване на контролно-измервателни системи в регистрирани свлачищни райони“.</w:t>
      </w:r>
    </w:p>
    <w:p w:rsidR="000B4309" w:rsidRPr="00672F2D" w:rsidRDefault="000B4309" w:rsidP="00F3608A">
      <w:pPr>
        <w:tabs>
          <w:tab w:val="left" w:pos="851"/>
        </w:tabs>
        <w:spacing w:after="0" w:line="240" w:lineRule="auto"/>
        <w:ind w:firstLine="567"/>
        <w:contextualSpacing/>
        <w:jc w:val="both"/>
        <w:rPr>
          <w:rFonts w:ascii="Times New Roman" w:eastAsia="Calibri" w:hAnsi="Times New Roman" w:cs="Times New Roman"/>
        </w:rPr>
      </w:pPr>
      <w:r w:rsidRPr="00672F2D">
        <w:rPr>
          <w:rFonts w:ascii="Times New Roman" w:eastAsia="Calibri" w:hAnsi="Times New Roman" w:cs="Times New Roman"/>
        </w:rPr>
        <w:t>През 2022г. и 2023 г. се предвижда да бъдат заложени измервания на новоизградените</w:t>
      </w:r>
      <w:r w:rsidR="00A627B7" w:rsidRPr="00672F2D">
        <w:rPr>
          <w:rFonts w:ascii="Times New Roman" w:eastAsia="Calibri" w:hAnsi="Times New Roman" w:cs="Times New Roman"/>
          <w:lang w:val="en-US"/>
        </w:rPr>
        <w:t xml:space="preserve"> </w:t>
      </w:r>
      <w:r w:rsidRPr="00672F2D">
        <w:rPr>
          <w:rFonts w:ascii="Times New Roman" w:eastAsia="Calibri" w:hAnsi="Times New Roman" w:cs="Times New Roman"/>
        </w:rPr>
        <w:t>/възстановени през 2021 г. контролно-измервателни системи и мониторинг на допълнителни 26 свлачища, поради което посоченият показател за контролирана свлачищна територия се увеличава.</w:t>
      </w:r>
    </w:p>
    <w:p w:rsidR="00BF163D" w:rsidRPr="00BF163D" w:rsidRDefault="00BF163D" w:rsidP="00F3608A">
      <w:pPr>
        <w:pStyle w:val="ListParagraph"/>
        <w:numPr>
          <w:ilvl w:val="0"/>
          <w:numId w:val="1"/>
        </w:numPr>
        <w:spacing w:after="0" w:line="240" w:lineRule="auto"/>
        <w:ind w:left="0" w:firstLine="567"/>
        <w:jc w:val="both"/>
        <w:rPr>
          <w:rFonts w:ascii="Times New Roman" w:eastAsia="Calibri" w:hAnsi="Times New Roman" w:cs="Times New Roman"/>
        </w:rPr>
      </w:pPr>
      <w:r w:rsidRPr="00672F2D">
        <w:rPr>
          <w:rFonts w:ascii="Times New Roman" w:eastAsia="Calibri" w:hAnsi="Times New Roman" w:cs="Times New Roman"/>
        </w:rPr>
        <w:t xml:space="preserve">Промяната в целевата стойност на </w:t>
      </w:r>
      <w:r w:rsidR="00997364">
        <w:rPr>
          <w:rFonts w:ascii="Times New Roman" w:eastAsia="Calibri" w:hAnsi="Times New Roman" w:cs="Times New Roman"/>
          <w:b/>
          <w:i/>
        </w:rPr>
        <w:t>индикатор</w:t>
      </w:r>
      <w:r w:rsidRPr="00672F2D">
        <w:rPr>
          <w:rFonts w:ascii="Times New Roman" w:eastAsia="Calibri" w:hAnsi="Times New Roman" w:cs="Times New Roman"/>
          <w:b/>
          <w:i/>
        </w:rPr>
        <w:t xml:space="preserve"> „Поддържане на валидни сертификати, издадени на производители на строителни продукти, от лица за оценяване на строителни продукти“</w:t>
      </w:r>
      <w:r w:rsidRPr="00672F2D">
        <w:rPr>
          <w:rFonts w:ascii="Times New Roman" w:eastAsia="Calibri" w:hAnsi="Times New Roman" w:cs="Times New Roman"/>
        </w:rPr>
        <w:t xml:space="preserve"> се дължи на: Процесът на оценяване на строителни продукти, издаването и поддържането на сертификати от лица за оценяване на строителни продукти, е обхванат от Регламент (ЕС) № 305/2011 на Европейския Парламент и на Съвета от 9 март 2011 година за определяне на хармонизирани условия за предлагането на пазара на строителни продукти и за отмяна на Директива 89/106/ЕИО на Съвета и на Наредба № РД-02-20-1 от</w:t>
      </w:r>
      <w:r w:rsidRPr="00BF163D">
        <w:rPr>
          <w:rFonts w:ascii="Times New Roman" w:eastAsia="Calibri" w:hAnsi="Times New Roman" w:cs="Times New Roman"/>
        </w:rPr>
        <w:t xml:space="preserve"> 2015 г. за условията и реда за влагане на строителни продукти в строежите на Република България. (Обн. ДВ. бр. 14 от 20.02.2015 г.). Към настоящият момент Регламент (ЕС) № 305/2011 е в процес на преработка и промяна на сертификационните критерии, като се очаква до края на 2021 г. да има нов европейски акт, регламентиращ оценяването на строителните продукти. По предварителна информация, получена от Европейската комисия, сертификационните критерии ще бъдат много променени, което ще доведе до намаляване на броя на издадените сертификати.</w:t>
      </w:r>
    </w:p>
    <w:p w:rsidR="00BF163D" w:rsidRPr="00BF163D" w:rsidRDefault="00BF163D" w:rsidP="00AA3F78">
      <w:pPr>
        <w:pStyle w:val="ListParagraph"/>
        <w:numPr>
          <w:ilvl w:val="0"/>
          <w:numId w:val="1"/>
        </w:numPr>
        <w:spacing w:after="0" w:line="240" w:lineRule="auto"/>
        <w:ind w:left="0" w:firstLine="567"/>
        <w:jc w:val="both"/>
        <w:rPr>
          <w:rFonts w:ascii="Times New Roman" w:eastAsia="Calibri" w:hAnsi="Times New Roman" w:cs="Times New Roman"/>
          <w:i/>
        </w:rPr>
      </w:pPr>
      <w:r w:rsidRPr="00BF163D">
        <w:rPr>
          <w:rFonts w:ascii="Times New Roman" w:eastAsia="Calibri" w:hAnsi="Times New Roman" w:cs="Times New Roman"/>
          <w:b/>
          <w:i/>
        </w:rPr>
        <w:t>Индикаторът „Поддържане на регулаторна база от технически нормативни актове за обследване, проектиране, изграждане и поддържане на строежите,</w:t>
      </w:r>
      <w:r w:rsidRPr="00BF163D">
        <w:rPr>
          <w:rFonts w:ascii="Times New Roman" w:eastAsia="Calibri" w:hAnsi="Times New Roman" w:cs="Times New Roman"/>
        </w:rPr>
        <w:t xml:space="preserve"> осигурява взаимообвързаното прилагане на Закона за устройство на територията (ЗУТ), Закона за енергийната ефективност, Закона за енергетиката, Закона за електроните съобщителни мрежи и физическа инфраструктура, Закона за движението по пътищата, Закона за пътищата и др., както и на актовете по тяхното прилагане, във връзка с изпълнението на основните изисквания към строежите съгласно чл. 169 от ЗУТ и Регламент (ЕС) № 305/2011 на Европейския Парламент и на Съвета от 9 март 2011 година за определяне на хармонизирани условия за предлагането на пазара на строителни продукти, с оглед проектиране, изпълнение и поддържане на безопасни, енергоефективни и достъпни строежи (сгради и строителни съоръжения), </w:t>
      </w:r>
      <w:r w:rsidRPr="00BF163D">
        <w:rPr>
          <w:rFonts w:ascii="Times New Roman" w:eastAsia="Calibri" w:hAnsi="Times New Roman" w:cs="Times New Roman"/>
          <w:i/>
        </w:rPr>
        <w:t>което налага включването му в бюджетна прогноза 2022-2024 г.</w:t>
      </w:r>
    </w:p>
    <w:p w:rsidR="00637376" w:rsidRPr="00637376" w:rsidRDefault="00637376" w:rsidP="005D27F6">
      <w:pPr>
        <w:tabs>
          <w:tab w:val="left" w:pos="709"/>
        </w:tabs>
        <w:spacing w:after="0" w:line="240" w:lineRule="auto"/>
        <w:ind w:left="567"/>
        <w:jc w:val="both"/>
        <w:rPr>
          <w:rFonts w:ascii="Times New Roman" w:eastAsia="Calibri" w:hAnsi="Times New Roman" w:cs="Times New Roman"/>
          <w:b/>
          <w:i/>
          <w:color w:val="0000CC"/>
        </w:rPr>
      </w:pPr>
      <w:r w:rsidRPr="00637376">
        <w:rPr>
          <w:rFonts w:ascii="Times New Roman" w:eastAsia="Calibri" w:hAnsi="Times New Roman" w:cs="Times New Roman"/>
          <w:b/>
          <w:i/>
          <w:color w:val="0000CC"/>
        </w:rPr>
        <w:t>Кратко описание на посочените индикатори.</w:t>
      </w:r>
    </w:p>
    <w:p w:rsidR="00511F1F" w:rsidRDefault="00997364" w:rsidP="00AA3F78">
      <w:pPr>
        <w:pStyle w:val="ListParagraph"/>
        <w:numPr>
          <w:ilvl w:val="0"/>
          <w:numId w:val="2"/>
        </w:numPr>
        <w:tabs>
          <w:tab w:val="left" w:pos="709"/>
        </w:tabs>
        <w:spacing w:after="0" w:line="240" w:lineRule="auto"/>
        <w:ind w:left="0" w:firstLine="567"/>
        <w:jc w:val="both"/>
        <w:rPr>
          <w:rFonts w:ascii="Times New Roman" w:eastAsia="Calibri" w:hAnsi="Times New Roman" w:cs="Times New Roman"/>
        </w:rPr>
      </w:pPr>
      <w:r>
        <w:rPr>
          <w:rFonts w:ascii="Times New Roman" w:eastAsia="Calibri" w:hAnsi="Times New Roman" w:cs="Times New Roman"/>
          <w:b/>
          <w:i/>
        </w:rPr>
        <w:t>Индикатор</w:t>
      </w:r>
      <w:r w:rsidR="00D6230D" w:rsidRPr="00D6230D">
        <w:rPr>
          <w:rFonts w:ascii="Times New Roman" w:eastAsia="Calibri" w:hAnsi="Times New Roman" w:cs="Times New Roman"/>
          <w:b/>
          <w:i/>
        </w:rPr>
        <w:t xml:space="preserve"> „Подобряване качеството на предоставяната услуга „Водоснабдяване и канализация“, чрез увеличаване броя на жителите, на които се предоставя питейна вода с подобрени качествени показатели и/или на които се осигурява непрекъснатост на водоснабдяването и/или на които се предоставя услугата отвеждане и пречистване на отпадъчните води“</w:t>
      </w:r>
      <w:r w:rsidR="00D6230D">
        <w:rPr>
          <w:rFonts w:ascii="Times New Roman" w:eastAsia="Calibri" w:hAnsi="Times New Roman" w:cs="Times New Roman"/>
          <w:b/>
          <w:i/>
        </w:rPr>
        <w:t xml:space="preserve"> </w:t>
      </w:r>
      <w:r w:rsidR="00D6230D" w:rsidRPr="00D6230D">
        <w:rPr>
          <w:rFonts w:ascii="Times New Roman" w:eastAsia="Calibri" w:hAnsi="Times New Roman" w:cs="Times New Roman"/>
        </w:rPr>
        <w:t>измерва</w:t>
      </w:r>
      <w:r w:rsidR="00D6230D">
        <w:rPr>
          <w:rFonts w:ascii="Times New Roman" w:eastAsia="Calibri" w:hAnsi="Times New Roman" w:cs="Times New Roman"/>
        </w:rPr>
        <w:t xml:space="preserve"> стратегическите цели, свързани с п</w:t>
      </w:r>
      <w:r w:rsidR="00D6230D" w:rsidRPr="00D6230D">
        <w:rPr>
          <w:rFonts w:ascii="Times New Roman" w:eastAsia="Calibri" w:hAnsi="Times New Roman" w:cs="Times New Roman"/>
        </w:rPr>
        <w:t xml:space="preserve">овишаване ефективността при </w:t>
      </w:r>
      <w:r w:rsidR="00D6230D">
        <w:rPr>
          <w:rFonts w:ascii="Times New Roman" w:eastAsia="Calibri" w:hAnsi="Times New Roman" w:cs="Times New Roman"/>
        </w:rPr>
        <w:t>предоставяне на „ВиК“ услугите, р</w:t>
      </w:r>
      <w:r w:rsidR="00D6230D" w:rsidRPr="00D6230D">
        <w:rPr>
          <w:rFonts w:ascii="Times New Roman" w:eastAsia="Calibri" w:hAnsi="Times New Roman" w:cs="Times New Roman"/>
        </w:rPr>
        <w:t>ехабилитация и реконструкция на съществуващите водоснаб</w:t>
      </w:r>
      <w:r w:rsidR="00D6230D">
        <w:rPr>
          <w:rFonts w:ascii="Times New Roman" w:eastAsia="Calibri" w:hAnsi="Times New Roman" w:cs="Times New Roman"/>
        </w:rPr>
        <w:t>дителни системи за питейна вода, както и п</w:t>
      </w:r>
      <w:r w:rsidR="00D6230D" w:rsidRPr="00D6230D">
        <w:rPr>
          <w:rFonts w:ascii="Times New Roman" w:eastAsia="Calibri" w:hAnsi="Times New Roman" w:cs="Times New Roman"/>
        </w:rPr>
        <w:t>одобряване на качеството на питейната вода</w:t>
      </w:r>
      <w:r w:rsidR="00D6230D">
        <w:rPr>
          <w:rFonts w:ascii="Times New Roman" w:eastAsia="Calibri" w:hAnsi="Times New Roman" w:cs="Times New Roman"/>
        </w:rPr>
        <w:t>;</w:t>
      </w:r>
    </w:p>
    <w:p w:rsidR="000F2611" w:rsidRDefault="00997364" w:rsidP="00AA3F78">
      <w:pPr>
        <w:pStyle w:val="ListParagraph"/>
        <w:numPr>
          <w:ilvl w:val="0"/>
          <w:numId w:val="2"/>
        </w:numPr>
        <w:tabs>
          <w:tab w:val="left" w:pos="709"/>
        </w:tabs>
        <w:spacing w:after="0" w:line="240" w:lineRule="auto"/>
        <w:ind w:left="0" w:firstLine="567"/>
        <w:jc w:val="both"/>
        <w:rPr>
          <w:rFonts w:ascii="Times New Roman" w:hAnsi="Times New Roman" w:cs="Times New Roman"/>
          <w:color w:val="000000"/>
        </w:rPr>
      </w:pPr>
      <w:r>
        <w:rPr>
          <w:rFonts w:ascii="Times New Roman" w:eastAsia="Calibri" w:hAnsi="Times New Roman" w:cs="Times New Roman"/>
          <w:b/>
          <w:i/>
        </w:rPr>
        <w:t>Индикатор</w:t>
      </w:r>
      <w:r w:rsidR="00D6230D" w:rsidRPr="00D6230D">
        <w:rPr>
          <w:rFonts w:ascii="Times New Roman" w:eastAsia="Calibri" w:hAnsi="Times New Roman" w:cs="Times New Roman"/>
          <w:b/>
          <w:i/>
        </w:rPr>
        <w:t xml:space="preserve"> „Завършен пътен обект и/или благоустройствен обект“</w:t>
      </w:r>
      <w:r w:rsidR="00D6230D">
        <w:rPr>
          <w:rFonts w:ascii="Times New Roman" w:eastAsia="Calibri" w:hAnsi="Times New Roman" w:cs="Times New Roman"/>
          <w:b/>
          <w:i/>
        </w:rPr>
        <w:t xml:space="preserve"> </w:t>
      </w:r>
      <w:r w:rsidR="00D6230D" w:rsidRPr="00D6230D">
        <w:rPr>
          <w:rFonts w:ascii="Times New Roman" w:eastAsia="Calibri" w:hAnsi="Times New Roman" w:cs="Times New Roman"/>
        </w:rPr>
        <w:t>измерва стратегическа цел</w:t>
      </w:r>
      <w:r w:rsidR="00D6230D" w:rsidRPr="00D6230D">
        <w:rPr>
          <w:rFonts w:ascii="Times New Roman" w:hAnsi="Times New Roman" w:cs="Times New Roman"/>
          <w:color w:val="000000"/>
        </w:rPr>
        <w:t xml:space="preserve"> </w:t>
      </w:r>
      <w:r w:rsidR="00D6230D">
        <w:rPr>
          <w:rFonts w:ascii="Times New Roman" w:hAnsi="Times New Roman" w:cs="Times New Roman"/>
          <w:color w:val="000000"/>
        </w:rPr>
        <w:t>„</w:t>
      </w:r>
      <w:r w:rsidR="000F2611" w:rsidRPr="000F2611">
        <w:rPr>
          <w:rFonts w:ascii="Times New Roman" w:hAnsi="Times New Roman" w:cs="Times New Roman"/>
          <w:color w:val="000000"/>
        </w:rPr>
        <w:t>Качествено транспортно обслужване по общинските пътища</w:t>
      </w:r>
      <w:r w:rsidR="000F2611">
        <w:rPr>
          <w:rFonts w:ascii="Times New Roman" w:hAnsi="Times New Roman" w:cs="Times New Roman"/>
          <w:color w:val="000000"/>
        </w:rPr>
        <w:t>“ и „</w:t>
      </w:r>
      <w:r w:rsidR="000F2611" w:rsidRPr="000F2611">
        <w:rPr>
          <w:rFonts w:ascii="Times New Roman" w:hAnsi="Times New Roman" w:cs="Times New Roman"/>
          <w:color w:val="000000"/>
        </w:rPr>
        <w:t>Подобряване на качеството на жизнената среда</w:t>
      </w:r>
      <w:r w:rsidR="000F2611">
        <w:rPr>
          <w:rFonts w:ascii="Times New Roman" w:hAnsi="Times New Roman" w:cs="Times New Roman"/>
          <w:color w:val="000000"/>
        </w:rPr>
        <w:t>“;</w:t>
      </w:r>
    </w:p>
    <w:p w:rsidR="00511F1F" w:rsidRPr="000F2611" w:rsidRDefault="00997364" w:rsidP="00AA3F78">
      <w:pPr>
        <w:pStyle w:val="ListParagraph"/>
        <w:numPr>
          <w:ilvl w:val="0"/>
          <w:numId w:val="2"/>
        </w:numPr>
        <w:tabs>
          <w:tab w:val="left" w:pos="709"/>
        </w:tabs>
        <w:spacing w:after="0" w:line="240" w:lineRule="auto"/>
        <w:ind w:left="0" w:firstLine="567"/>
        <w:jc w:val="both"/>
        <w:rPr>
          <w:rFonts w:ascii="Times New Roman" w:hAnsi="Times New Roman" w:cs="Times New Roman"/>
          <w:color w:val="000000"/>
        </w:rPr>
      </w:pPr>
      <w:r>
        <w:rPr>
          <w:rFonts w:ascii="Times New Roman" w:eastAsia="Calibri" w:hAnsi="Times New Roman" w:cs="Times New Roman"/>
          <w:b/>
          <w:i/>
        </w:rPr>
        <w:t>Индикатор</w:t>
      </w:r>
      <w:r w:rsidR="00790809" w:rsidRPr="000F2611">
        <w:rPr>
          <w:rFonts w:ascii="Times New Roman" w:eastAsia="Calibri" w:hAnsi="Times New Roman" w:cs="Times New Roman"/>
          <w:b/>
          <w:i/>
        </w:rPr>
        <w:t xml:space="preserve"> „Завършени геозащитни обекти/брегоукрепени участъци</w:t>
      </w:r>
      <w:r w:rsidR="00790809" w:rsidRPr="000F2611">
        <w:rPr>
          <w:rFonts w:ascii="Times New Roman" w:eastAsia="Calibri" w:hAnsi="Times New Roman" w:cs="Times New Roman"/>
          <w:b/>
          <w:i/>
          <w:vertAlign w:val="superscript"/>
        </w:rPr>
        <w:t xml:space="preserve">“ </w:t>
      </w:r>
      <w:r w:rsidR="00790809" w:rsidRPr="000F2611">
        <w:rPr>
          <w:rFonts w:ascii="Times New Roman" w:eastAsia="Calibri" w:hAnsi="Times New Roman" w:cs="Times New Roman"/>
        </w:rPr>
        <w:t>измерва стратегическа цел „Изпълнение на превантивни мерки и дейности за ограничаване на свлачищата, ерозионните процеси по Дунавското крайбрежие и абразионните процеси по Черноморското крайбрежие с оглeд прeдотвратяване на аварии и щети“.</w:t>
      </w:r>
    </w:p>
    <w:p w:rsidR="00790809" w:rsidRPr="00743FBC" w:rsidRDefault="00997364" w:rsidP="00AA3F78">
      <w:pPr>
        <w:pStyle w:val="ListParagraph"/>
        <w:numPr>
          <w:ilvl w:val="0"/>
          <w:numId w:val="2"/>
        </w:numPr>
        <w:spacing w:after="0" w:line="240" w:lineRule="auto"/>
        <w:ind w:left="0" w:firstLine="567"/>
        <w:jc w:val="both"/>
        <w:rPr>
          <w:rFonts w:ascii="Times New Roman" w:eastAsia="Calibri" w:hAnsi="Times New Roman" w:cs="Times New Roman"/>
        </w:rPr>
      </w:pPr>
      <w:r>
        <w:rPr>
          <w:rFonts w:ascii="Times New Roman" w:eastAsia="Calibri" w:hAnsi="Times New Roman" w:cs="Times New Roman"/>
          <w:b/>
          <w:i/>
        </w:rPr>
        <w:lastRenderedPageBreak/>
        <w:t>Индикатор</w:t>
      </w:r>
      <w:r w:rsidR="00790809" w:rsidRPr="00743FBC">
        <w:rPr>
          <w:rFonts w:ascii="Times New Roman" w:eastAsia="Calibri" w:hAnsi="Times New Roman" w:cs="Times New Roman"/>
          <w:b/>
          <w:i/>
        </w:rPr>
        <w:t xml:space="preserve"> „Рехабилитирани и новоизградени участъци /в т.ч. аварийни дейности/“ и „Текущ ремонт и поддържане на РПМ“ </w:t>
      </w:r>
      <w:r w:rsidR="00790809" w:rsidRPr="00743FBC">
        <w:rPr>
          <w:rFonts w:ascii="Times New Roman" w:eastAsia="Calibri" w:hAnsi="Times New Roman" w:cs="Times New Roman"/>
        </w:rPr>
        <w:t xml:space="preserve">са свързани с изпълнение на </w:t>
      </w:r>
      <w:r w:rsidR="00A00E23" w:rsidRPr="00743FBC">
        <w:rPr>
          <w:rFonts w:ascii="Times New Roman" w:eastAsia="Calibri" w:hAnsi="Times New Roman" w:cs="Times New Roman"/>
        </w:rPr>
        <w:t>стратегическите цели в областта на изграждането на модерна и безопасна пътна инфраструктура.</w:t>
      </w:r>
    </w:p>
    <w:p w:rsidR="00470FE4" w:rsidRPr="00470FE4" w:rsidRDefault="00997364" w:rsidP="00AA3F78">
      <w:pPr>
        <w:pStyle w:val="ListParagraph"/>
        <w:numPr>
          <w:ilvl w:val="0"/>
          <w:numId w:val="1"/>
        </w:numPr>
        <w:spacing w:after="0" w:line="240" w:lineRule="auto"/>
        <w:ind w:left="0" w:firstLine="567"/>
        <w:jc w:val="both"/>
        <w:rPr>
          <w:rFonts w:ascii="Times New Roman" w:eastAsia="Batang" w:hAnsi="Times New Roman" w:cs="Times New Roman"/>
          <w:b/>
          <w:i/>
          <w:lang w:eastAsia="ko-KR"/>
        </w:rPr>
      </w:pPr>
      <w:r>
        <w:rPr>
          <w:rFonts w:ascii="Times New Roman" w:eastAsia="Batang" w:hAnsi="Times New Roman" w:cs="Times New Roman"/>
          <w:b/>
          <w:i/>
          <w:lang w:eastAsia="ko-KR"/>
        </w:rPr>
        <w:t>Индикатор</w:t>
      </w:r>
      <w:r w:rsidR="00470FE4" w:rsidRPr="007A4A59">
        <w:rPr>
          <w:rFonts w:ascii="Times New Roman" w:eastAsia="Batang" w:hAnsi="Times New Roman" w:cs="Times New Roman"/>
          <w:b/>
          <w:i/>
          <w:lang w:eastAsia="ko-KR"/>
        </w:rPr>
        <w:t xml:space="preserve"> „Подобряване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w:t>
      </w:r>
      <w:r w:rsidR="00AA3F78">
        <w:rPr>
          <w:rFonts w:ascii="Times New Roman" w:eastAsia="Batang" w:hAnsi="Times New Roman" w:cs="Times New Roman"/>
          <w:b/>
          <w:i/>
          <w:lang w:eastAsia="ko-KR"/>
        </w:rPr>
        <w:t>роежи от I, II и III категория</w:t>
      </w:r>
      <w:r w:rsidR="00470FE4" w:rsidRPr="007A4A59">
        <w:rPr>
          <w:rFonts w:ascii="Times New Roman" w:eastAsia="Batang" w:hAnsi="Times New Roman" w:cs="Times New Roman"/>
          <w:b/>
          <w:i/>
          <w:lang w:eastAsia="ko-KR"/>
        </w:rPr>
        <w:t>“</w:t>
      </w:r>
      <w:r w:rsidR="00470FE4">
        <w:rPr>
          <w:rFonts w:ascii="Times New Roman" w:eastAsia="Batang" w:hAnsi="Times New Roman" w:cs="Times New Roman"/>
          <w:b/>
          <w:i/>
          <w:lang w:eastAsia="ko-KR"/>
        </w:rPr>
        <w:t xml:space="preserve"> </w:t>
      </w:r>
      <w:r w:rsidR="00470FE4" w:rsidRPr="007A4A59">
        <w:rPr>
          <w:rFonts w:ascii="Times New Roman" w:eastAsia="Batang" w:hAnsi="Times New Roman" w:cs="Times New Roman"/>
          <w:lang w:eastAsia="ko-KR"/>
        </w:rPr>
        <w:t xml:space="preserve">измерва </w:t>
      </w:r>
      <w:r w:rsidR="00470FE4">
        <w:rPr>
          <w:rFonts w:ascii="Times New Roman" w:eastAsia="Batang" w:hAnsi="Times New Roman" w:cs="Times New Roman"/>
          <w:lang w:eastAsia="ko-KR"/>
        </w:rPr>
        <w:t>цел „</w:t>
      </w:r>
      <w:r w:rsidR="00470FE4" w:rsidRPr="001D45BB">
        <w:rPr>
          <w:rFonts w:ascii="Times New Roman" w:eastAsia="Batang" w:hAnsi="Times New Roman" w:cs="Times New Roman"/>
          <w:lang w:eastAsia="ko-KR"/>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w:t>
      </w:r>
      <w:r w:rsidR="00470FE4">
        <w:rPr>
          <w:rFonts w:ascii="Times New Roman" w:eastAsia="Batang" w:hAnsi="Times New Roman" w:cs="Times New Roman"/>
          <w:lang w:eastAsia="ko-KR"/>
        </w:rPr>
        <w:t>ти в областта на строителството“.</w:t>
      </w:r>
    </w:p>
    <w:p w:rsidR="009E2262" w:rsidRPr="009E2262" w:rsidRDefault="009E2262" w:rsidP="00AA3F78">
      <w:pPr>
        <w:pStyle w:val="ListParagraph"/>
        <w:numPr>
          <w:ilvl w:val="0"/>
          <w:numId w:val="1"/>
        </w:numPr>
        <w:spacing w:after="0" w:line="240" w:lineRule="auto"/>
        <w:ind w:left="0" w:firstLine="567"/>
        <w:jc w:val="both"/>
        <w:rPr>
          <w:rFonts w:ascii="Times New Roman" w:eastAsia="Batang" w:hAnsi="Times New Roman" w:cs="Times New Roman"/>
          <w:lang w:val="en-US" w:eastAsia="ko-KR"/>
        </w:rPr>
      </w:pPr>
      <w:r w:rsidRPr="009E2262">
        <w:rPr>
          <w:rFonts w:ascii="Times New Roman" w:eastAsia="Batang" w:hAnsi="Times New Roman" w:cs="Times New Roman"/>
          <w:b/>
          <w:i/>
          <w:lang w:val="en-US" w:eastAsia="ko-KR"/>
        </w:rPr>
        <w:t>Индикатор „Поддържане на валидни сертификати, издадени на производители на строителни продукти, от лица за оценяване на строителни продукти“</w:t>
      </w:r>
      <w:r w:rsidRPr="009E2262">
        <w:rPr>
          <w:rFonts w:ascii="Times New Roman" w:eastAsia="Batang" w:hAnsi="Times New Roman" w:cs="Times New Roman"/>
          <w:lang w:val="en-US" w:eastAsia="ko-KR"/>
        </w:rPr>
        <w:t xml:space="preserve"> измерва постигането на стратегическа цел „Осигуряване и управление на система за оправомощаване и ефективен контрол върху дейността на лицата, извършващи оценяване на строителните продукти“</w:t>
      </w:r>
      <w:r>
        <w:rPr>
          <w:rFonts w:ascii="Times New Roman" w:eastAsia="Batang" w:hAnsi="Times New Roman" w:cs="Times New Roman"/>
          <w:lang w:eastAsia="ko-KR"/>
        </w:rPr>
        <w:t>;</w:t>
      </w:r>
    </w:p>
    <w:p w:rsidR="009E2262" w:rsidRDefault="009E2262" w:rsidP="00AA3F78">
      <w:pPr>
        <w:pStyle w:val="ListParagraph"/>
        <w:numPr>
          <w:ilvl w:val="0"/>
          <w:numId w:val="1"/>
        </w:numPr>
        <w:spacing w:after="0" w:line="240" w:lineRule="auto"/>
        <w:ind w:left="0" w:firstLine="567"/>
        <w:jc w:val="both"/>
        <w:rPr>
          <w:rFonts w:ascii="Times New Roman" w:eastAsia="Batang" w:hAnsi="Times New Roman" w:cs="Times New Roman"/>
          <w:lang w:val="en-US" w:eastAsia="ko-KR"/>
        </w:rPr>
      </w:pPr>
      <w:r w:rsidRPr="009E2262">
        <w:rPr>
          <w:rFonts w:ascii="Times New Roman" w:eastAsia="Batang" w:hAnsi="Times New Roman" w:cs="Times New Roman"/>
          <w:b/>
          <w:i/>
          <w:lang w:val="en-US" w:eastAsia="ko-KR"/>
        </w:rPr>
        <w:t>Индикатор „Участия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Европейския съюз“</w:t>
      </w:r>
      <w:r w:rsidRPr="009E2262">
        <w:rPr>
          <w:rFonts w:ascii="Times New Roman" w:eastAsia="Batang" w:hAnsi="Times New Roman" w:cs="Times New Roman"/>
          <w:lang w:val="en-US" w:eastAsia="ko-KR"/>
        </w:rPr>
        <w:t xml:space="preserve"> измерва  стратегическа цел „Защита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влагане в строежите на Република България“ и допринася за изпълнение на стратегическа цел „Създаване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както и за изпълнението на стратегическа цел „Гарантиране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rsidR="006B2804" w:rsidRDefault="009E2262" w:rsidP="00AA3F78">
      <w:pPr>
        <w:pStyle w:val="ListParagraph"/>
        <w:numPr>
          <w:ilvl w:val="0"/>
          <w:numId w:val="1"/>
        </w:numPr>
        <w:spacing w:after="0" w:line="240" w:lineRule="auto"/>
        <w:ind w:left="0" w:firstLine="567"/>
        <w:jc w:val="both"/>
        <w:rPr>
          <w:rFonts w:ascii="Times New Roman" w:eastAsia="Batang" w:hAnsi="Times New Roman" w:cs="Times New Roman"/>
          <w:lang w:val="en-US" w:eastAsia="ko-KR"/>
        </w:rPr>
      </w:pPr>
      <w:r w:rsidRPr="009E2262">
        <w:rPr>
          <w:rFonts w:ascii="Times New Roman" w:eastAsia="Batang" w:hAnsi="Times New Roman" w:cs="Times New Roman"/>
          <w:b/>
          <w:i/>
          <w:lang w:val="en-US" w:eastAsia="ko-KR"/>
        </w:rPr>
        <w:t>Индикатор „Поддържане на регулаторна база от технически нормативни актове за обследване, проектиране, изграждане и поддържане на строежите“</w:t>
      </w:r>
      <w:r w:rsidRPr="009E2262">
        <w:rPr>
          <w:rFonts w:ascii="Times New Roman" w:eastAsia="Batang" w:hAnsi="Times New Roman" w:cs="Times New Roman"/>
          <w:lang w:val="en-US" w:eastAsia="ko-KR"/>
        </w:rPr>
        <w:t xml:space="preserve"> измерва постигането на стратегическа </w:t>
      </w:r>
      <w:bookmarkStart w:id="0" w:name="_GoBack"/>
      <w:bookmarkEnd w:id="0"/>
      <w:r w:rsidRPr="009E2262">
        <w:rPr>
          <w:rFonts w:ascii="Times New Roman" w:eastAsia="Batang" w:hAnsi="Times New Roman" w:cs="Times New Roman"/>
          <w:lang w:val="en-US" w:eastAsia="ko-KR"/>
        </w:rPr>
        <w:t>цел „Създаване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и допринася за изпълнението на стратегическа цел „Гарантиране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sectPr w:rsidR="006B2804" w:rsidSect="00CD19BF">
      <w:headerReference w:type="default" r:id="rId8"/>
      <w:footerReference w:type="default" r:id="rId9"/>
      <w:headerReference w:type="first" r:id="rId10"/>
      <w:pgSz w:w="11906" w:h="16838"/>
      <w:pgMar w:top="1702" w:right="991" w:bottom="851" w:left="1276" w:header="993"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219" w:rsidRDefault="006B6219">
      <w:pPr>
        <w:spacing w:after="0" w:line="240" w:lineRule="auto"/>
      </w:pPr>
      <w:r>
        <w:separator/>
      </w:r>
    </w:p>
  </w:endnote>
  <w:endnote w:type="continuationSeparator" w:id="0">
    <w:p w:rsidR="006B6219" w:rsidRDefault="006B6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319162"/>
      <w:docPartObj>
        <w:docPartGallery w:val="Page Numbers (Bottom of Page)"/>
        <w:docPartUnique/>
      </w:docPartObj>
    </w:sdtPr>
    <w:sdtEndPr/>
    <w:sdtContent>
      <w:sdt>
        <w:sdtPr>
          <w:id w:val="256648452"/>
          <w:docPartObj>
            <w:docPartGallery w:val="Page Numbers (Top of Page)"/>
            <w:docPartUnique/>
          </w:docPartObj>
        </w:sdtPr>
        <w:sdtEndPr/>
        <w:sdtContent>
          <w:p w:rsidR="00391AC1" w:rsidRPr="0025354B" w:rsidRDefault="00061E89">
            <w:pPr>
              <w:pStyle w:val="Footer"/>
              <w:jc w:val="right"/>
              <w:rPr>
                <w:b/>
                <w:bCs/>
                <w:lang w:val="en-US"/>
              </w:rPr>
            </w:pPr>
            <w:r>
              <w:t xml:space="preserve">стр. </w:t>
            </w:r>
            <w:r>
              <w:rPr>
                <w:b/>
                <w:bCs/>
              </w:rPr>
              <w:fldChar w:fldCharType="begin"/>
            </w:r>
            <w:r>
              <w:rPr>
                <w:b/>
                <w:bCs/>
              </w:rPr>
              <w:instrText xml:space="preserve"> PAGE </w:instrText>
            </w:r>
            <w:r>
              <w:rPr>
                <w:b/>
                <w:bCs/>
              </w:rPr>
              <w:fldChar w:fldCharType="separate"/>
            </w:r>
            <w:r w:rsidR="00997364">
              <w:rPr>
                <w:b/>
                <w:bCs/>
                <w:noProof/>
              </w:rPr>
              <w:t>12</w:t>
            </w:r>
            <w:r>
              <w:rPr>
                <w:b/>
                <w:bCs/>
              </w:rPr>
              <w:fldChar w:fldCharType="end"/>
            </w:r>
            <w:r>
              <w:t xml:space="preserve"> от </w:t>
            </w:r>
            <w:r w:rsidR="00391AC1">
              <w:rPr>
                <w:b/>
                <w:bCs/>
              </w:rPr>
              <w:t>1</w:t>
            </w:r>
            <w:r w:rsidR="0025354B">
              <w:rPr>
                <w:b/>
                <w:bCs/>
                <w:lang w:val="en-US"/>
              </w:rPr>
              <w:t>3</w:t>
            </w:r>
          </w:p>
          <w:p w:rsidR="00061E89" w:rsidRPr="00734C60" w:rsidRDefault="006B6219">
            <w:pPr>
              <w:pStyle w:val="Footer"/>
              <w:jc w:val="right"/>
              <w:rPr>
                <w:lang w:val="en-US"/>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219" w:rsidRDefault="006B6219">
      <w:pPr>
        <w:spacing w:after="0" w:line="240" w:lineRule="auto"/>
      </w:pPr>
      <w:r>
        <w:separator/>
      </w:r>
    </w:p>
  </w:footnote>
  <w:footnote w:type="continuationSeparator" w:id="0">
    <w:p w:rsidR="006B6219" w:rsidRDefault="006B6219">
      <w:pPr>
        <w:spacing w:after="0" w:line="240" w:lineRule="auto"/>
      </w:pPr>
      <w:r>
        <w:continuationSeparator/>
      </w:r>
    </w:p>
  </w:footnote>
  <w:footnote w:id="1">
    <w:p w:rsidR="002B07FF" w:rsidRDefault="002B07FF">
      <w:pPr>
        <w:pStyle w:val="FootnoteText"/>
      </w:pPr>
      <w:r>
        <w:rPr>
          <w:rStyle w:val="FootnoteReference"/>
        </w:rPr>
        <w:footnoteRef/>
      </w:r>
      <w:r>
        <w:t xml:space="preserve"> </w:t>
      </w:r>
      <w:r w:rsidRPr="00DA0A1C">
        <w:rPr>
          <w:rFonts w:ascii="Times New Roman" w:eastAsia="Calibri" w:hAnsi="Times New Roman" w:cs="Times New Roman"/>
          <w:color w:val="000000"/>
          <w:sz w:val="16"/>
          <w:szCs w:val="16"/>
          <w:lang w:eastAsia="bg-BG"/>
        </w:rPr>
        <w:t>Целевата стойност на показател „Завършен пътен обект“ е на база издадено Разрешение за ползване или дължина на участък в линейни метри</w:t>
      </w:r>
      <w:r>
        <w:rPr>
          <w:rFonts w:ascii="Times New Roman" w:eastAsia="Calibri" w:hAnsi="Times New Roman" w:cs="Times New Roman"/>
          <w:color w:val="000000"/>
          <w:sz w:val="16"/>
          <w:szCs w:val="16"/>
          <w:lang w:eastAsia="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double" w:sz="4" w:space="0" w:color="auto"/>
        <w:right w:val="none" w:sz="0" w:space="0" w:color="auto"/>
      </w:tblBorders>
      <w:tblLook w:val="04A0" w:firstRow="1" w:lastRow="0" w:firstColumn="1" w:lastColumn="0" w:noHBand="0" w:noVBand="1"/>
    </w:tblPr>
    <w:tblGrid>
      <w:gridCol w:w="9639"/>
    </w:tblGrid>
    <w:tr w:rsidR="00061E89" w:rsidTr="0045306D">
      <w:trPr>
        <w:trHeight w:val="267"/>
      </w:trPr>
      <w:tc>
        <w:tcPr>
          <w:tcW w:w="9736" w:type="dxa"/>
        </w:tcPr>
        <w:p w:rsidR="00061E89" w:rsidRDefault="00061E89" w:rsidP="004841E7">
          <w:pPr>
            <w:pStyle w:val="Header"/>
            <w:jc w:val="center"/>
          </w:pPr>
          <w:r>
            <w:t>Ключови индикатори за изпълнение на политиките и целеви стойности за периода 202</w:t>
          </w:r>
          <w:r w:rsidR="004841E7">
            <w:rPr>
              <w:lang w:val="en-US"/>
            </w:rPr>
            <w:t>2</w:t>
          </w:r>
          <w:r w:rsidR="004841E7">
            <w:t>-2024</w:t>
          </w:r>
          <w:r>
            <w:t xml:space="preserve"> г.</w:t>
          </w:r>
        </w:p>
      </w:tc>
    </w:tr>
  </w:tbl>
  <w:p w:rsidR="00061E89" w:rsidRDefault="00061E89" w:rsidP="001B4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08"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380"/>
    </w:tblGrid>
    <w:tr w:rsidR="00061E89" w:rsidTr="001B4D1D">
      <w:trPr>
        <w:trHeight w:val="1445"/>
      </w:trPr>
      <w:tc>
        <w:tcPr>
          <w:tcW w:w="1728" w:type="dxa"/>
        </w:tcPr>
        <w:p w:rsidR="00061E89" w:rsidRDefault="00061E89" w:rsidP="001B4D1D">
          <w:pPr>
            <w:jc w:val="center"/>
            <w:rPr>
              <w:b/>
              <w:lang w:val="en-US"/>
            </w:rPr>
          </w:pPr>
          <w:r>
            <w:rPr>
              <w:b/>
              <w:noProof/>
            </w:rPr>
            <w:drawing>
              <wp:anchor distT="0" distB="0" distL="114300" distR="114300" simplePos="0" relativeHeight="251660288" behindDoc="0" locked="0" layoutInCell="1" allowOverlap="1" wp14:anchorId="1D64C14F" wp14:editId="3D58A527">
                <wp:simplePos x="0" y="0"/>
                <wp:positionH relativeFrom="column">
                  <wp:posOffset>-1905</wp:posOffset>
                </wp:positionH>
                <wp:positionV relativeFrom="paragraph">
                  <wp:posOffset>-34925</wp:posOffset>
                </wp:positionV>
                <wp:extent cx="1056960" cy="900000"/>
                <wp:effectExtent l="0" t="0" r="0" b="0"/>
                <wp:wrapNone/>
                <wp:docPr id="13" name="Picture 1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96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n-US"/>
            </w:rPr>
            <w:ptab w:relativeTo="margin" w:alignment="center" w:leader="none"/>
          </w:r>
        </w:p>
      </w:tc>
      <w:tc>
        <w:tcPr>
          <w:tcW w:w="7380" w:type="dxa"/>
          <w:vAlign w:val="center"/>
        </w:tcPr>
        <w:p w:rsidR="00061E89" w:rsidRPr="00821983" w:rsidRDefault="00061E89" w:rsidP="001B4D1D">
          <w:pPr>
            <w:jc w:val="center"/>
            <w:rPr>
              <w:rFonts w:ascii="Times New Roman Bold" w:hAnsi="Times New Roman Bold"/>
              <w:b/>
              <w:lang w:val="en-US"/>
            </w:rPr>
          </w:pPr>
          <w:r w:rsidRPr="00821983">
            <w:rPr>
              <w:rFonts w:ascii="Times New Roman Bold" w:hAnsi="Times New Roman Bold"/>
              <w:b/>
            </w:rPr>
            <w:t>РЕПУБЛИКА БЪЛГАРИЯ</w:t>
          </w:r>
        </w:p>
        <w:p w:rsidR="00061E89" w:rsidRPr="00821983" w:rsidRDefault="00061E89" w:rsidP="001B4D1D">
          <w:pPr>
            <w:jc w:val="center"/>
            <w:rPr>
              <w:rFonts w:ascii="Times New Roman Bold" w:hAnsi="Times New Roman Bold"/>
              <w:b/>
              <w:lang w:val="en-US"/>
            </w:rPr>
          </w:pPr>
          <w:r w:rsidRPr="0037668F">
            <w:rPr>
              <w:rFonts w:ascii="Times New Roman Bold" w:hAnsi="Times New Roman Bold"/>
              <w:b/>
            </w:rPr>
            <w:t>Заместник-министър на регионалното развитие и благоустройството</w:t>
          </w:r>
        </w:p>
      </w:tc>
    </w:tr>
  </w:tbl>
  <w:p w:rsidR="00061E89" w:rsidRDefault="00061E89" w:rsidP="001B4D1D">
    <w:pPr>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D0D8"/>
      </v:shape>
    </w:pict>
  </w:numPicBullet>
  <w:abstractNum w:abstractNumId="0" w15:restartNumberingAfterBreak="0">
    <w:nsid w:val="02A51402"/>
    <w:multiLevelType w:val="hybridMultilevel"/>
    <w:tmpl w:val="6FE8AE32"/>
    <w:lvl w:ilvl="0" w:tplc="04020001">
      <w:start w:val="1"/>
      <w:numFmt w:val="bullet"/>
      <w:lvlText w:val=""/>
      <w:lvlJc w:val="left"/>
      <w:pPr>
        <w:ind w:left="778"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6047953"/>
    <w:multiLevelType w:val="hybridMultilevel"/>
    <w:tmpl w:val="9FAAC7B4"/>
    <w:lvl w:ilvl="0" w:tplc="C94E6B44">
      <w:start w:val="54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DE24149"/>
    <w:multiLevelType w:val="hybridMultilevel"/>
    <w:tmpl w:val="A244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0035D"/>
    <w:multiLevelType w:val="hybridMultilevel"/>
    <w:tmpl w:val="50DA338A"/>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0262853"/>
    <w:multiLevelType w:val="hybridMultilevel"/>
    <w:tmpl w:val="71D67C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BBE0130"/>
    <w:multiLevelType w:val="hybridMultilevel"/>
    <w:tmpl w:val="9B9C4D02"/>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EE01E83"/>
    <w:multiLevelType w:val="hybridMultilevel"/>
    <w:tmpl w:val="8AB0F2B8"/>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15:restartNumberingAfterBreak="0">
    <w:nsid w:val="235647B1"/>
    <w:multiLevelType w:val="hybridMultilevel"/>
    <w:tmpl w:val="3D88E94A"/>
    <w:lvl w:ilvl="0" w:tplc="E5929DCC">
      <w:numFmt w:val="bullet"/>
      <w:lvlText w:val="-"/>
      <w:lvlJc w:val="left"/>
      <w:pPr>
        <w:ind w:left="1287" w:hanging="360"/>
      </w:pPr>
      <w:rPr>
        <w:rFonts w:ascii="Times New Roman" w:eastAsiaTheme="minorHAnsi"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15:restartNumberingAfterBreak="0">
    <w:nsid w:val="258E5F67"/>
    <w:multiLevelType w:val="hybridMultilevel"/>
    <w:tmpl w:val="5246BC6E"/>
    <w:lvl w:ilvl="0" w:tplc="46046DF4">
      <w:start w:val="1"/>
      <w:numFmt w:val="decimal"/>
      <w:lvlText w:val="%1."/>
      <w:lvlJc w:val="left"/>
      <w:pPr>
        <w:ind w:left="928" w:hanging="360"/>
      </w:pPr>
      <w:rPr>
        <w:rFonts w:eastAsiaTheme="minorHAnsi" w:hint="default"/>
        <w:b w:val="0"/>
        <w:sz w:val="16"/>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9" w15:restartNumberingAfterBreak="0">
    <w:nsid w:val="26A42B4A"/>
    <w:multiLevelType w:val="hybridMultilevel"/>
    <w:tmpl w:val="5F20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55D10"/>
    <w:multiLevelType w:val="hybridMultilevel"/>
    <w:tmpl w:val="2DDCD77C"/>
    <w:lvl w:ilvl="0" w:tplc="D5FA83BC">
      <w:start w:val="5"/>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CF31E92"/>
    <w:multiLevelType w:val="hybridMultilevel"/>
    <w:tmpl w:val="3424C2BA"/>
    <w:lvl w:ilvl="0" w:tplc="0EC63542">
      <w:start w:val="1"/>
      <w:numFmt w:val="decimal"/>
      <w:lvlText w:val="%1."/>
      <w:lvlJc w:val="left"/>
      <w:pPr>
        <w:ind w:left="720" w:hanging="360"/>
      </w:pPr>
      <w:rPr>
        <w:b/>
        <w: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15:restartNumberingAfterBreak="0">
    <w:nsid w:val="32954513"/>
    <w:multiLevelType w:val="hybridMultilevel"/>
    <w:tmpl w:val="C7661A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3AA324D"/>
    <w:multiLevelType w:val="hybridMultilevel"/>
    <w:tmpl w:val="C32E3E4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4FB30E0"/>
    <w:multiLevelType w:val="hybridMultilevel"/>
    <w:tmpl w:val="FC0858E2"/>
    <w:lvl w:ilvl="0" w:tplc="E37EF05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5" w15:restartNumberingAfterBreak="0">
    <w:nsid w:val="37655706"/>
    <w:multiLevelType w:val="hybridMultilevel"/>
    <w:tmpl w:val="C41AA56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15:restartNumberingAfterBreak="0">
    <w:nsid w:val="38252314"/>
    <w:multiLevelType w:val="hybridMultilevel"/>
    <w:tmpl w:val="82D22E8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15:restartNumberingAfterBreak="0">
    <w:nsid w:val="383B6240"/>
    <w:multiLevelType w:val="hybridMultilevel"/>
    <w:tmpl w:val="167878A4"/>
    <w:lvl w:ilvl="0" w:tplc="04020003">
      <w:start w:val="1"/>
      <w:numFmt w:val="bullet"/>
      <w:lvlText w:val="o"/>
      <w:lvlJc w:val="left"/>
      <w:pPr>
        <w:ind w:left="1222" w:hanging="360"/>
      </w:pPr>
      <w:rPr>
        <w:rFonts w:ascii="Courier New" w:hAnsi="Courier New" w:cs="Courier New" w:hint="default"/>
      </w:rPr>
    </w:lvl>
    <w:lvl w:ilvl="1" w:tplc="04020003" w:tentative="1">
      <w:start w:val="1"/>
      <w:numFmt w:val="bullet"/>
      <w:lvlText w:val="o"/>
      <w:lvlJc w:val="left"/>
      <w:pPr>
        <w:ind w:left="1942" w:hanging="360"/>
      </w:pPr>
      <w:rPr>
        <w:rFonts w:ascii="Courier New" w:hAnsi="Courier New" w:cs="Courier New" w:hint="default"/>
      </w:rPr>
    </w:lvl>
    <w:lvl w:ilvl="2" w:tplc="04020005" w:tentative="1">
      <w:start w:val="1"/>
      <w:numFmt w:val="bullet"/>
      <w:lvlText w:val=""/>
      <w:lvlJc w:val="left"/>
      <w:pPr>
        <w:ind w:left="2662" w:hanging="360"/>
      </w:pPr>
      <w:rPr>
        <w:rFonts w:ascii="Wingdings" w:hAnsi="Wingdings" w:hint="default"/>
      </w:rPr>
    </w:lvl>
    <w:lvl w:ilvl="3" w:tplc="04020001" w:tentative="1">
      <w:start w:val="1"/>
      <w:numFmt w:val="bullet"/>
      <w:lvlText w:val=""/>
      <w:lvlJc w:val="left"/>
      <w:pPr>
        <w:ind w:left="3382" w:hanging="360"/>
      </w:pPr>
      <w:rPr>
        <w:rFonts w:ascii="Symbol" w:hAnsi="Symbol" w:hint="default"/>
      </w:rPr>
    </w:lvl>
    <w:lvl w:ilvl="4" w:tplc="04020003" w:tentative="1">
      <w:start w:val="1"/>
      <w:numFmt w:val="bullet"/>
      <w:lvlText w:val="o"/>
      <w:lvlJc w:val="left"/>
      <w:pPr>
        <w:ind w:left="4102" w:hanging="360"/>
      </w:pPr>
      <w:rPr>
        <w:rFonts w:ascii="Courier New" w:hAnsi="Courier New" w:cs="Courier New" w:hint="default"/>
      </w:rPr>
    </w:lvl>
    <w:lvl w:ilvl="5" w:tplc="04020005" w:tentative="1">
      <w:start w:val="1"/>
      <w:numFmt w:val="bullet"/>
      <w:lvlText w:val=""/>
      <w:lvlJc w:val="left"/>
      <w:pPr>
        <w:ind w:left="4822" w:hanging="360"/>
      </w:pPr>
      <w:rPr>
        <w:rFonts w:ascii="Wingdings" w:hAnsi="Wingdings" w:hint="default"/>
      </w:rPr>
    </w:lvl>
    <w:lvl w:ilvl="6" w:tplc="04020001" w:tentative="1">
      <w:start w:val="1"/>
      <w:numFmt w:val="bullet"/>
      <w:lvlText w:val=""/>
      <w:lvlJc w:val="left"/>
      <w:pPr>
        <w:ind w:left="5542" w:hanging="360"/>
      </w:pPr>
      <w:rPr>
        <w:rFonts w:ascii="Symbol" w:hAnsi="Symbol" w:hint="default"/>
      </w:rPr>
    </w:lvl>
    <w:lvl w:ilvl="7" w:tplc="04020003" w:tentative="1">
      <w:start w:val="1"/>
      <w:numFmt w:val="bullet"/>
      <w:lvlText w:val="o"/>
      <w:lvlJc w:val="left"/>
      <w:pPr>
        <w:ind w:left="6262" w:hanging="360"/>
      </w:pPr>
      <w:rPr>
        <w:rFonts w:ascii="Courier New" w:hAnsi="Courier New" w:cs="Courier New" w:hint="default"/>
      </w:rPr>
    </w:lvl>
    <w:lvl w:ilvl="8" w:tplc="04020005" w:tentative="1">
      <w:start w:val="1"/>
      <w:numFmt w:val="bullet"/>
      <w:lvlText w:val=""/>
      <w:lvlJc w:val="left"/>
      <w:pPr>
        <w:ind w:left="6982" w:hanging="360"/>
      </w:pPr>
      <w:rPr>
        <w:rFonts w:ascii="Wingdings" w:hAnsi="Wingdings" w:hint="default"/>
      </w:rPr>
    </w:lvl>
  </w:abstractNum>
  <w:abstractNum w:abstractNumId="18" w15:restartNumberingAfterBreak="0">
    <w:nsid w:val="3E237BBD"/>
    <w:multiLevelType w:val="hybridMultilevel"/>
    <w:tmpl w:val="C5ACCF34"/>
    <w:lvl w:ilvl="0" w:tplc="0402000D">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9" w15:restartNumberingAfterBreak="0">
    <w:nsid w:val="45046A40"/>
    <w:multiLevelType w:val="hybridMultilevel"/>
    <w:tmpl w:val="08B6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620C5"/>
    <w:multiLevelType w:val="hybridMultilevel"/>
    <w:tmpl w:val="C356711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1" w15:restartNumberingAfterBreak="0">
    <w:nsid w:val="47EC777E"/>
    <w:multiLevelType w:val="hybridMultilevel"/>
    <w:tmpl w:val="D67A8684"/>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2" w15:restartNumberingAfterBreak="0">
    <w:nsid w:val="4AA606A7"/>
    <w:multiLevelType w:val="hybridMultilevel"/>
    <w:tmpl w:val="E0EEA3A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3" w15:restartNumberingAfterBreak="0">
    <w:nsid w:val="4B170297"/>
    <w:multiLevelType w:val="hybridMultilevel"/>
    <w:tmpl w:val="2CDC4622"/>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4" w15:restartNumberingAfterBreak="0">
    <w:nsid w:val="4E6B3464"/>
    <w:multiLevelType w:val="hybridMultilevel"/>
    <w:tmpl w:val="3408762A"/>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EF54328"/>
    <w:multiLevelType w:val="hybridMultilevel"/>
    <w:tmpl w:val="8D58EB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15862DF"/>
    <w:multiLevelType w:val="hybridMultilevel"/>
    <w:tmpl w:val="D1D8C1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3F066F3"/>
    <w:multiLevelType w:val="hybridMultilevel"/>
    <w:tmpl w:val="4B5C9660"/>
    <w:lvl w:ilvl="0" w:tplc="04020001">
      <w:start w:val="1"/>
      <w:numFmt w:val="bullet"/>
      <w:lvlText w:val=""/>
      <w:lvlJc w:val="left"/>
      <w:pPr>
        <w:ind w:left="360" w:hanging="360"/>
      </w:pPr>
      <w:rPr>
        <w:rFonts w:ascii="Symbol" w:hAnsi="Symbol" w:hint="default"/>
        <w:color w:val="auto"/>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28" w15:restartNumberingAfterBreak="0">
    <w:nsid w:val="54D11C98"/>
    <w:multiLevelType w:val="hybridMultilevel"/>
    <w:tmpl w:val="2E74A1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AB47DE1"/>
    <w:multiLevelType w:val="hybridMultilevel"/>
    <w:tmpl w:val="44FA7D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F8116B0"/>
    <w:multiLevelType w:val="hybridMultilevel"/>
    <w:tmpl w:val="654ECC86"/>
    <w:lvl w:ilvl="0" w:tplc="04020001">
      <w:start w:val="1"/>
      <w:numFmt w:val="bullet"/>
      <w:lvlText w:val=""/>
      <w:lvlJc w:val="left"/>
      <w:pPr>
        <w:ind w:left="360" w:hanging="360"/>
      </w:pPr>
      <w:rPr>
        <w:rFonts w:ascii="Symbol" w:hAnsi="Symbol" w:hint="default"/>
        <w:color w:val="auto"/>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31" w15:restartNumberingAfterBreak="0">
    <w:nsid w:val="631B56BB"/>
    <w:multiLevelType w:val="hybridMultilevel"/>
    <w:tmpl w:val="0854B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CB079A"/>
    <w:multiLevelType w:val="hybridMultilevel"/>
    <w:tmpl w:val="C84CA704"/>
    <w:lvl w:ilvl="0" w:tplc="04020001">
      <w:start w:val="1"/>
      <w:numFmt w:val="bullet"/>
      <w:lvlText w:val=""/>
      <w:lvlJc w:val="left"/>
      <w:pPr>
        <w:ind w:left="502"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62A3490"/>
    <w:multiLevelType w:val="hybridMultilevel"/>
    <w:tmpl w:val="FEF0FE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F475052"/>
    <w:multiLevelType w:val="hybridMultilevel"/>
    <w:tmpl w:val="2322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9D5B30"/>
    <w:multiLevelType w:val="hybridMultilevel"/>
    <w:tmpl w:val="10B8A000"/>
    <w:lvl w:ilvl="0" w:tplc="04020007">
      <w:start w:val="1"/>
      <w:numFmt w:val="bullet"/>
      <w:lvlText w:val=""/>
      <w:lvlPicBulletId w:val="0"/>
      <w:lvlJc w:val="left"/>
      <w:pPr>
        <w:ind w:left="1372" w:hanging="360"/>
      </w:pPr>
      <w:rPr>
        <w:rFonts w:ascii="Symbol" w:hAnsi="Symbol" w:hint="default"/>
      </w:rPr>
    </w:lvl>
    <w:lvl w:ilvl="1" w:tplc="04020003" w:tentative="1">
      <w:start w:val="1"/>
      <w:numFmt w:val="bullet"/>
      <w:lvlText w:val="o"/>
      <w:lvlJc w:val="left"/>
      <w:pPr>
        <w:ind w:left="2092" w:hanging="360"/>
      </w:pPr>
      <w:rPr>
        <w:rFonts w:ascii="Courier New" w:hAnsi="Courier New" w:cs="Courier New" w:hint="default"/>
      </w:rPr>
    </w:lvl>
    <w:lvl w:ilvl="2" w:tplc="04020005" w:tentative="1">
      <w:start w:val="1"/>
      <w:numFmt w:val="bullet"/>
      <w:lvlText w:val=""/>
      <w:lvlJc w:val="left"/>
      <w:pPr>
        <w:ind w:left="2812" w:hanging="360"/>
      </w:pPr>
      <w:rPr>
        <w:rFonts w:ascii="Wingdings" w:hAnsi="Wingdings" w:hint="default"/>
      </w:rPr>
    </w:lvl>
    <w:lvl w:ilvl="3" w:tplc="04020001" w:tentative="1">
      <w:start w:val="1"/>
      <w:numFmt w:val="bullet"/>
      <w:lvlText w:val=""/>
      <w:lvlJc w:val="left"/>
      <w:pPr>
        <w:ind w:left="3532" w:hanging="360"/>
      </w:pPr>
      <w:rPr>
        <w:rFonts w:ascii="Symbol" w:hAnsi="Symbol" w:hint="default"/>
      </w:rPr>
    </w:lvl>
    <w:lvl w:ilvl="4" w:tplc="04020003" w:tentative="1">
      <w:start w:val="1"/>
      <w:numFmt w:val="bullet"/>
      <w:lvlText w:val="o"/>
      <w:lvlJc w:val="left"/>
      <w:pPr>
        <w:ind w:left="4252" w:hanging="360"/>
      </w:pPr>
      <w:rPr>
        <w:rFonts w:ascii="Courier New" w:hAnsi="Courier New" w:cs="Courier New" w:hint="default"/>
      </w:rPr>
    </w:lvl>
    <w:lvl w:ilvl="5" w:tplc="04020005" w:tentative="1">
      <w:start w:val="1"/>
      <w:numFmt w:val="bullet"/>
      <w:lvlText w:val=""/>
      <w:lvlJc w:val="left"/>
      <w:pPr>
        <w:ind w:left="4972" w:hanging="360"/>
      </w:pPr>
      <w:rPr>
        <w:rFonts w:ascii="Wingdings" w:hAnsi="Wingdings" w:hint="default"/>
      </w:rPr>
    </w:lvl>
    <w:lvl w:ilvl="6" w:tplc="04020001" w:tentative="1">
      <w:start w:val="1"/>
      <w:numFmt w:val="bullet"/>
      <w:lvlText w:val=""/>
      <w:lvlJc w:val="left"/>
      <w:pPr>
        <w:ind w:left="5692" w:hanging="360"/>
      </w:pPr>
      <w:rPr>
        <w:rFonts w:ascii="Symbol" w:hAnsi="Symbol" w:hint="default"/>
      </w:rPr>
    </w:lvl>
    <w:lvl w:ilvl="7" w:tplc="04020003" w:tentative="1">
      <w:start w:val="1"/>
      <w:numFmt w:val="bullet"/>
      <w:lvlText w:val="o"/>
      <w:lvlJc w:val="left"/>
      <w:pPr>
        <w:ind w:left="6412" w:hanging="360"/>
      </w:pPr>
      <w:rPr>
        <w:rFonts w:ascii="Courier New" w:hAnsi="Courier New" w:cs="Courier New" w:hint="default"/>
      </w:rPr>
    </w:lvl>
    <w:lvl w:ilvl="8" w:tplc="04020005" w:tentative="1">
      <w:start w:val="1"/>
      <w:numFmt w:val="bullet"/>
      <w:lvlText w:val=""/>
      <w:lvlJc w:val="left"/>
      <w:pPr>
        <w:ind w:left="7132" w:hanging="360"/>
      </w:pPr>
      <w:rPr>
        <w:rFonts w:ascii="Wingdings" w:hAnsi="Wingdings" w:hint="default"/>
      </w:rPr>
    </w:lvl>
  </w:abstractNum>
  <w:abstractNum w:abstractNumId="36" w15:restartNumberingAfterBreak="0">
    <w:nsid w:val="79ED59EF"/>
    <w:multiLevelType w:val="hybridMultilevel"/>
    <w:tmpl w:val="8F9E3ABC"/>
    <w:lvl w:ilvl="0" w:tplc="0402000F">
      <w:start w:val="5"/>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B176BA7"/>
    <w:multiLevelType w:val="hybridMultilevel"/>
    <w:tmpl w:val="71228182"/>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8" w15:restartNumberingAfterBreak="0">
    <w:nsid w:val="7B1F1F6F"/>
    <w:multiLevelType w:val="hybridMultilevel"/>
    <w:tmpl w:val="BDFAC72A"/>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num w:numId="1">
    <w:abstractNumId w:val="32"/>
  </w:num>
  <w:num w:numId="2">
    <w:abstractNumId w:val="15"/>
  </w:num>
  <w:num w:numId="3">
    <w:abstractNumId w:val="11"/>
  </w:num>
  <w:num w:numId="4">
    <w:abstractNumId w:val="17"/>
  </w:num>
  <w:num w:numId="5">
    <w:abstractNumId w:val="25"/>
  </w:num>
  <w:num w:numId="6">
    <w:abstractNumId w:val="33"/>
  </w:num>
  <w:num w:numId="7">
    <w:abstractNumId w:val="4"/>
  </w:num>
  <w:num w:numId="8">
    <w:abstractNumId w:val="12"/>
  </w:num>
  <w:num w:numId="9">
    <w:abstractNumId w:val="0"/>
  </w:num>
  <w:num w:numId="10">
    <w:abstractNumId w:val="22"/>
  </w:num>
  <w:num w:numId="11">
    <w:abstractNumId w:val="35"/>
  </w:num>
  <w:num w:numId="12">
    <w:abstractNumId w:val="24"/>
  </w:num>
  <w:num w:numId="13">
    <w:abstractNumId w:val="34"/>
  </w:num>
  <w:num w:numId="14">
    <w:abstractNumId w:val="30"/>
  </w:num>
  <w:num w:numId="15">
    <w:abstractNumId w:val="27"/>
  </w:num>
  <w:num w:numId="16">
    <w:abstractNumId w:val="13"/>
  </w:num>
  <w:num w:numId="17">
    <w:abstractNumId w:val="26"/>
  </w:num>
  <w:num w:numId="18">
    <w:abstractNumId w:val="36"/>
  </w:num>
  <w:num w:numId="19">
    <w:abstractNumId w:val="8"/>
  </w:num>
  <w:num w:numId="20">
    <w:abstractNumId w:val="28"/>
  </w:num>
  <w:num w:numId="21">
    <w:abstractNumId w:val="5"/>
  </w:num>
  <w:num w:numId="22">
    <w:abstractNumId w:val="1"/>
  </w:num>
  <w:num w:numId="23">
    <w:abstractNumId w:val="18"/>
  </w:num>
  <w:num w:numId="24">
    <w:abstractNumId w:val="37"/>
  </w:num>
  <w:num w:numId="25">
    <w:abstractNumId w:val="3"/>
  </w:num>
  <w:num w:numId="26">
    <w:abstractNumId w:val="10"/>
  </w:num>
  <w:num w:numId="27">
    <w:abstractNumId w:val="19"/>
  </w:num>
  <w:num w:numId="28">
    <w:abstractNumId w:val="29"/>
  </w:num>
  <w:num w:numId="29">
    <w:abstractNumId w:val="38"/>
  </w:num>
  <w:num w:numId="30">
    <w:abstractNumId w:val="9"/>
  </w:num>
  <w:num w:numId="31">
    <w:abstractNumId w:val="6"/>
  </w:num>
  <w:num w:numId="32">
    <w:abstractNumId w:val="2"/>
  </w:num>
  <w:num w:numId="33">
    <w:abstractNumId w:val="31"/>
  </w:num>
  <w:num w:numId="34">
    <w:abstractNumId w:val="21"/>
  </w:num>
  <w:num w:numId="35">
    <w:abstractNumId w:val="16"/>
  </w:num>
  <w:num w:numId="36">
    <w:abstractNumId w:val="20"/>
  </w:num>
  <w:num w:numId="37">
    <w:abstractNumId w:val="23"/>
  </w:num>
  <w:num w:numId="38">
    <w:abstractNumId w:val="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82"/>
    <w:rsid w:val="0000017C"/>
    <w:rsid w:val="0000105A"/>
    <w:rsid w:val="000021D3"/>
    <w:rsid w:val="0000405E"/>
    <w:rsid w:val="00012776"/>
    <w:rsid w:val="000139AD"/>
    <w:rsid w:val="000176A4"/>
    <w:rsid w:val="00023BA0"/>
    <w:rsid w:val="000240E0"/>
    <w:rsid w:val="0003035E"/>
    <w:rsid w:val="000304E0"/>
    <w:rsid w:val="00032557"/>
    <w:rsid w:val="000362D3"/>
    <w:rsid w:val="000365B1"/>
    <w:rsid w:val="0004286F"/>
    <w:rsid w:val="00043B54"/>
    <w:rsid w:val="00043F73"/>
    <w:rsid w:val="000452D1"/>
    <w:rsid w:val="00047768"/>
    <w:rsid w:val="000519CF"/>
    <w:rsid w:val="00052F47"/>
    <w:rsid w:val="00054103"/>
    <w:rsid w:val="00054216"/>
    <w:rsid w:val="00054F7D"/>
    <w:rsid w:val="00055D08"/>
    <w:rsid w:val="00056D5B"/>
    <w:rsid w:val="000601FC"/>
    <w:rsid w:val="00061E89"/>
    <w:rsid w:val="0006563D"/>
    <w:rsid w:val="00066BFF"/>
    <w:rsid w:val="000708BA"/>
    <w:rsid w:val="00072343"/>
    <w:rsid w:val="00073B6F"/>
    <w:rsid w:val="00084057"/>
    <w:rsid w:val="0008441F"/>
    <w:rsid w:val="00085F97"/>
    <w:rsid w:val="00087238"/>
    <w:rsid w:val="00091C5B"/>
    <w:rsid w:val="00091D05"/>
    <w:rsid w:val="000965B9"/>
    <w:rsid w:val="000970F2"/>
    <w:rsid w:val="000A65BC"/>
    <w:rsid w:val="000A695A"/>
    <w:rsid w:val="000A6ABF"/>
    <w:rsid w:val="000A781F"/>
    <w:rsid w:val="000A7B90"/>
    <w:rsid w:val="000B033B"/>
    <w:rsid w:val="000B04B4"/>
    <w:rsid w:val="000B216F"/>
    <w:rsid w:val="000B3639"/>
    <w:rsid w:val="000B4309"/>
    <w:rsid w:val="000B5B74"/>
    <w:rsid w:val="000B7C5A"/>
    <w:rsid w:val="000C0DD9"/>
    <w:rsid w:val="000C5353"/>
    <w:rsid w:val="000D33E0"/>
    <w:rsid w:val="000E01DC"/>
    <w:rsid w:val="000F2611"/>
    <w:rsid w:val="000F5744"/>
    <w:rsid w:val="00101306"/>
    <w:rsid w:val="0010146B"/>
    <w:rsid w:val="0010180A"/>
    <w:rsid w:val="0010661C"/>
    <w:rsid w:val="001100CA"/>
    <w:rsid w:val="00110D76"/>
    <w:rsid w:val="001126A5"/>
    <w:rsid w:val="0011393C"/>
    <w:rsid w:val="00116F65"/>
    <w:rsid w:val="001210D8"/>
    <w:rsid w:val="001221E4"/>
    <w:rsid w:val="00122B72"/>
    <w:rsid w:val="00123287"/>
    <w:rsid w:val="0013081C"/>
    <w:rsid w:val="00135D80"/>
    <w:rsid w:val="0014286A"/>
    <w:rsid w:val="00142E9A"/>
    <w:rsid w:val="001449AF"/>
    <w:rsid w:val="00150942"/>
    <w:rsid w:val="00151263"/>
    <w:rsid w:val="00151619"/>
    <w:rsid w:val="001548DD"/>
    <w:rsid w:val="00154F8C"/>
    <w:rsid w:val="0016112B"/>
    <w:rsid w:val="001614C7"/>
    <w:rsid w:val="00164DB5"/>
    <w:rsid w:val="00165269"/>
    <w:rsid w:val="00167260"/>
    <w:rsid w:val="00172A4F"/>
    <w:rsid w:val="00173F9F"/>
    <w:rsid w:val="0017720D"/>
    <w:rsid w:val="001838B5"/>
    <w:rsid w:val="00183BAD"/>
    <w:rsid w:val="00185239"/>
    <w:rsid w:val="001864D5"/>
    <w:rsid w:val="001932A7"/>
    <w:rsid w:val="00194D6F"/>
    <w:rsid w:val="001A0C3A"/>
    <w:rsid w:val="001A1D9E"/>
    <w:rsid w:val="001A53D6"/>
    <w:rsid w:val="001A6EE1"/>
    <w:rsid w:val="001A7F8A"/>
    <w:rsid w:val="001B2124"/>
    <w:rsid w:val="001B36ED"/>
    <w:rsid w:val="001B3A55"/>
    <w:rsid w:val="001B4D1D"/>
    <w:rsid w:val="001B7376"/>
    <w:rsid w:val="001C0574"/>
    <w:rsid w:val="001C17B0"/>
    <w:rsid w:val="001C2298"/>
    <w:rsid w:val="001C4217"/>
    <w:rsid w:val="001C537A"/>
    <w:rsid w:val="001C546C"/>
    <w:rsid w:val="001C5543"/>
    <w:rsid w:val="001D092F"/>
    <w:rsid w:val="001D45BB"/>
    <w:rsid w:val="001E287C"/>
    <w:rsid w:val="001F3F83"/>
    <w:rsid w:val="001F782D"/>
    <w:rsid w:val="002036B3"/>
    <w:rsid w:val="002073C0"/>
    <w:rsid w:val="00211B4A"/>
    <w:rsid w:val="00213E0F"/>
    <w:rsid w:val="00215460"/>
    <w:rsid w:val="00217637"/>
    <w:rsid w:val="00220673"/>
    <w:rsid w:val="002228B7"/>
    <w:rsid w:val="002230E4"/>
    <w:rsid w:val="00223EEC"/>
    <w:rsid w:val="00226A5E"/>
    <w:rsid w:val="0022795D"/>
    <w:rsid w:val="00230093"/>
    <w:rsid w:val="002321F7"/>
    <w:rsid w:val="00234D1E"/>
    <w:rsid w:val="00235BF0"/>
    <w:rsid w:val="00235FA0"/>
    <w:rsid w:val="002362A8"/>
    <w:rsid w:val="0023634C"/>
    <w:rsid w:val="00237363"/>
    <w:rsid w:val="00237470"/>
    <w:rsid w:val="00240246"/>
    <w:rsid w:val="00243286"/>
    <w:rsid w:val="00243D64"/>
    <w:rsid w:val="002454E4"/>
    <w:rsid w:val="00247832"/>
    <w:rsid w:val="0025034F"/>
    <w:rsid w:val="00251209"/>
    <w:rsid w:val="00253134"/>
    <w:rsid w:val="002532ED"/>
    <w:rsid w:val="0025354B"/>
    <w:rsid w:val="00253F51"/>
    <w:rsid w:val="00256452"/>
    <w:rsid w:val="0025647B"/>
    <w:rsid w:val="00262E08"/>
    <w:rsid w:val="00267482"/>
    <w:rsid w:val="00271F21"/>
    <w:rsid w:val="00275C83"/>
    <w:rsid w:val="0027711B"/>
    <w:rsid w:val="00281129"/>
    <w:rsid w:val="002814EC"/>
    <w:rsid w:val="0028702A"/>
    <w:rsid w:val="00291B20"/>
    <w:rsid w:val="0029525B"/>
    <w:rsid w:val="002A1E8D"/>
    <w:rsid w:val="002A300F"/>
    <w:rsid w:val="002A4914"/>
    <w:rsid w:val="002A57F3"/>
    <w:rsid w:val="002A5BB3"/>
    <w:rsid w:val="002A65BD"/>
    <w:rsid w:val="002A6BCC"/>
    <w:rsid w:val="002A6D1B"/>
    <w:rsid w:val="002B07FF"/>
    <w:rsid w:val="002B28D2"/>
    <w:rsid w:val="002B375C"/>
    <w:rsid w:val="002B649D"/>
    <w:rsid w:val="002B666B"/>
    <w:rsid w:val="002B6754"/>
    <w:rsid w:val="002C083C"/>
    <w:rsid w:val="002C090F"/>
    <w:rsid w:val="002C26B9"/>
    <w:rsid w:val="002C3993"/>
    <w:rsid w:val="002C42D6"/>
    <w:rsid w:val="002C50EB"/>
    <w:rsid w:val="002C6B77"/>
    <w:rsid w:val="002E3173"/>
    <w:rsid w:val="002E5CE5"/>
    <w:rsid w:val="002E6C0D"/>
    <w:rsid w:val="002E7484"/>
    <w:rsid w:val="002F026B"/>
    <w:rsid w:val="002F1A3A"/>
    <w:rsid w:val="002F2674"/>
    <w:rsid w:val="002F4DFE"/>
    <w:rsid w:val="002F5A10"/>
    <w:rsid w:val="00304095"/>
    <w:rsid w:val="0031263A"/>
    <w:rsid w:val="00322C98"/>
    <w:rsid w:val="003235E4"/>
    <w:rsid w:val="0032516B"/>
    <w:rsid w:val="00327028"/>
    <w:rsid w:val="003278D1"/>
    <w:rsid w:val="00333BE4"/>
    <w:rsid w:val="003359A7"/>
    <w:rsid w:val="00337F71"/>
    <w:rsid w:val="003434B8"/>
    <w:rsid w:val="003470CE"/>
    <w:rsid w:val="003540DC"/>
    <w:rsid w:val="003578A7"/>
    <w:rsid w:val="0036749C"/>
    <w:rsid w:val="00367E8E"/>
    <w:rsid w:val="00374217"/>
    <w:rsid w:val="00374E8A"/>
    <w:rsid w:val="003750B4"/>
    <w:rsid w:val="00375A42"/>
    <w:rsid w:val="00376271"/>
    <w:rsid w:val="00380C1C"/>
    <w:rsid w:val="00385262"/>
    <w:rsid w:val="003854B3"/>
    <w:rsid w:val="00391AC1"/>
    <w:rsid w:val="00392413"/>
    <w:rsid w:val="0039346F"/>
    <w:rsid w:val="00396D66"/>
    <w:rsid w:val="003A003C"/>
    <w:rsid w:val="003A06BE"/>
    <w:rsid w:val="003A3307"/>
    <w:rsid w:val="003A566D"/>
    <w:rsid w:val="003A616C"/>
    <w:rsid w:val="003A6F6B"/>
    <w:rsid w:val="003B614C"/>
    <w:rsid w:val="003B672A"/>
    <w:rsid w:val="003B6738"/>
    <w:rsid w:val="003C19B5"/>
    <w:rsid w:val="003C1CBE"/>
    <w:rsid w:val="003C3424"/>
    <w:rsid w:val="003C4E74"/>
    <w:rsid w:val="003C67A2"/>
    <w:rsid w:val="003E017E"/>
    <w:rsid w:val="003E5244"/>
    <w:rsid w:val="003E799B"/>
    <w:rsid w:val="003F0C75"/>
    <w:rsid w:val="003F0F7E"/>
    <w:rsid w:val="003F65D5"/>
    <w:rsid w:val="00401ED3"/>
    <w:rsid w:val="004020A7"/>
    <w:rsid w:val="00410488"/>
    <w:rsid w:val="00410F7A"/>
    <w:rsid w:val="00412925"/>
    <w:rsid w:val="00417326"/>
    <w:rsid w:val="004175FB"/>
    <w:rsid w:val="00422C07"/>
    <w:rsid w:val="00426BE5"/>
    <w:rsid w:val="00431CFE"/>
    <w:rsid w:val="00432A72"/>
    <w:rsid w:val="00433582"/>
    <w:rsid w:val="0043696F"/>
    <w:rsid w:val="0043795A"/>
    <w:rsid w:val="00442AB6"/>
    <w:rsid w:val="00452463"/>
    <w:rsid w:val="0045306D"/>
    <w:rsid w:val="004666F0"/>
    <w:rsid w:val="0046674C"/>
    <w:rsid w:val="00470840"/>
    <w:rsid w:val="00470CFB"/>
    <w:rsid w:val="00470FE4"/>
    <w:rsid w:val="004718D8"/>
    <w:rsid w:val="0047537F"/>
    <w:rsid w:val="0048416C"/>
    <w:rsid w:val="004841E7"/>
    <w:rsid w:val="0048569E"/>
    <w:rsid w:val="00486511"/>
    <w:rsid w:val="00496E9C"/>
    <w:rsid w:val="004A39BD"/>
    <w:rsid w:val="004A3B66"/>
    <w:rsid w:val="004B03F3"/>
    <w:rsid w:val="004B1A61"/>
    <w:rsid w:val="004B6D3B"/>
    <w:rsid w:val="004C0A49"/>
    <w:rsid w:val="004C28A7"/>
    <w:rsid w:val="004C3F48"/>
    <w:rsid w:val="004C79EF"/>
    <w:rsid w:val="004D0B54"/>
    <w:rsid w:val="004D1DE4"/>
    <w:rsid w:val="004D4CC6"/>
    <w:rsid w:val="004D60F5"/>
    <w:rsid w:val="004D612E"/>
    <w:rsid w:val="004E09C0"/>
    <w:rsid w:val="004F0F49"/>
    <w:rsid w:val="004F1527"/>
    <w:rsid w:val="004F1803"/>
    <w:rsid w:val="0050131E"/>
    <w:rsid w:val="0050218A"/>
    <w:rsid w:val="00507E5A"/>
    <w:rsid w:val="0051074C"/>
    <w:rsid w:val="00511568"/>
    <w:rsid w:val="00511F1F"/>
    <w:rsid w:val="005131C5"/>
    <w:rsid w:val="005152CF"/>
    <w:rsid w:val="00515562"/>
    <w:rsid w:val="00515804"/>
    <w:rsid w:val="00516131"/>
    <w:rsid w:val="0051757E"/>
    <w:rsid w:val="00520BAA"/>
    <w:rsid w:val="00520CF7"/>
    <w:rsid w:val="00534522"/>
    <w:rsid w:val="005348E4"/>
    <w:rsid w:val="005356BF"/>
    <w:rsid w:val="00540593"/>
    <w:rsid w:val="00541088"/>
    <w:rsid w:val="00541340"/>
    <w:rsid w:val="00541A69"/>
    <w:rsid w:val="00544842"/>
    <w:rsid w:val="00556985"/>
    <w:rsid w:val="00561373"/>
    <w:rsid w:val="0056189E"/>
    <w:rsid w:val="00563903"/>
    <w:rsid w:val="005678F7"/>
    <w:rsid w:val="00567CD4"/>
    <w:rsid w:val="0057148D"/>
    <w:rsid w:val="0057153C"/>
    <w:rsid w:val="00574848"/>
    <w:rsid w:val="00575891"/>
    <w:rsid w:val="00580B6F"/>
    <w:rsid w:val="00582B01"/>
    <w:rsid w:val="0058533E"/>
    <w:rsid w:val="00591440"/>
    <w:rsid w:val="005940F7"/>
    <w:rsid w:val="005A568E"/>
    <w:rsid w:val="005A7148"/>
    <w:rsid w:val="005A7420"/>
    <w:rsid w:val="005B17BE"/>
    <w:rsid w:val="005B4591"/>
    <w:rsid w:val="005B78CE"/>
    <w:rsid w:val="005C0D8E"/>
    <w:rsid w:val="005C4D2D"/>
    <w:rsid w:val="005C6563"/>
    <w:rsid w:val="005D27F6"/>
    <w:rsid w:val="005E0977"/>
    <w:rsid w:val="005E266D"/>
    <w:rsid w:val="005E672A"/>
    <w:rsid w:val="005E678E"/>
    <w:rsid w:val="005F256E"/>
    <w:rsid w:val="005F4489"/>
    <w:rsid w:val="005F5519"/>
    <w:rsid w:val="005F71C8"/>
    <w:rsid w:val="006019B3"/>
    <w:rsid w:val="006057D4"/>
    <w:rsid w:val="00606922"/>
    <w:rsid w:val="00621647"/>
    <w:rsid w:val="0062268B"/>
    <w:rsid w:val="006275FE"/>
    <w:rsid w:val="006300BD"/>
    <w:rsid w:val="00630F38"/>
    <w:rsid w:val="006320BD"/>
    <w:rsid w:val="00633C75"/>
    <w:rsid w:val="00636F1F"/>
    <w:rsid w:val="00637376"/>
    <w:rsid w:val="006400BF"/>
    <w:rsid w:val="0064198F"/>
    <w:rsid w:val="00642CF6"/>
    <w:rsid w:val="00643080"/>
    <w:rsid w:val="006461DC"/>
    <w:rsid w:val="00655B96"/>
    <w:rsid w:val="00655DC9"/>
    <w:rsid w:val="0066133F"/>
    <w:rsid w:val="00662509"/>
    <w:rsid w:val="0066565F"/>
    <w:rsid w:val="00665F8D"/>
    <w:rsid w:val="00666FFA"/>
    <w:rsid w:val="0067250C"/>
    <w:rsid w:val="00672F2D"/>
    <w:rsid w:val="006749B3"/>
    <w:rsid w:val="006757D0"/>
    <w:rsid w:val="00676E01"/>
    <w:rsid w:val="0068270F"/>
    <w:rsid w:val="00686C81"/>
    <w:rsid w:val="006872DB"/>
    <w:rsid w:val="006911D7"/>
    <w:rsid w:val="00691BA7"/>
    <w:rsid w:val="00691D8E"/>
    <w:rsid w:val="0069688F"/>
    <w:rsid w:val="00696C54"/>
    <w:rsid w:val="00697AB7"/>
    <w:rsid w:val="006A0201"/>
    <w:rsid w:val="006A4CE0"/>
    <w:rsid w:val="006A55FF"/>
    <w:rsid w:val="006A68BE"/>
    <w:rsid w:val="006B0497"/>
    <w:rsid w:val="006B08CE"/>
    <w:rsid w:val="006B17DF"/>
    <w:rsid w:val="006B2804"/>
    <w:rsid w:val="006B6219"/>
    <w:rsid w:val="006C3FFA"/>
    <w:rsid w:val="006D352C"/>
    <w:rsid w:val="006D4941"/>
    <w:rsid w:val="006D4DA8"/>
    <w:rsid w:val="006D63E0"/>
    <w:rsid w:val="006E150C"/>
    <w:rsid w:val="006E4C62"/>
    <w:rsid w:val="006E5BC5"/>
    <w:rsid w:val="006E607D"/>
    <w:rsid w:val="006F09B6"/>
    <w:rsid w:val="006F3B79"/>
    <w:rsid w:val="006F4BDD"/>
    <w:rsid w:val="006F7139"/>
    <w:rsid w:val="006F79B2"/>
    <w:rsid w:val="00702CAF"/>
    <w:rsid w:val="00702D11"/>
    <w:rsid w:val="00702E3C"/>
    <w:rsid w:val="007032C9"/>
    <w:rsid w:val="00703B68"/>
    <w:rsid w:val="00705F9D"/>
    <w:rsid w:val="007102E5"/>
    <w:rsid w:val="007107D7"/>
    <w:rsid w:val="00713003"/>
    <w:rsid w:val="00716487"/>
    <w:rsid w:val="00717240"/>
    <w:rsid w:val="00720BC5"/>
    <w:rsid w:val="00720FCD"/>
    <w:rsid w:val="007222CD"/>
    <w:rsid w:val="00726A4C"/>
    <w:rsid w:val="007316CA"/>
    <w:rsid w:val="007336EF"/>
    <w:rsid w:val="00735775"/>
    <w:rsid w:val="00736C20"/>
    <w:rsid w:val="00740960"/>
    <w:rsid w:val="0074341C"/>
    <w:rsid w:val="00743E7C"/>
    <w:rsid w:val="00743FBC"/>
    <w:rsid w:val="0074484C"/>
    <w:rsid w:val="00752964"/>
    <w:rsid w:val="00757B63"/>
    <w:rsid w:val="00757C4B"/>
    <w:rsid w:val="00761082"/>
    <w:rsid w:val="007619D6"/>
    <w:rsid w:val="00762471"/>
    <w:rsid w:val="00763D81"/>
    <w:rsid w:val="007666F0"/>
    <w:rsid w:val="00766A3C"/>
    <w:rsid w:val="00766A55"/>
    <w:rsid w:val="007712E3"/>
    <w:rsid w:val="00772995"/>
    <w:rsid w:val="00772DA4"/>
    <w:rsid w:val="007730AD"/>
    <w:rsid w:val="007751B7"/>
    <w:rsid w:val="0077588B"/>
    <w:rsid w:val="00776FA1"/>
    <w:rsid w:val="0078010C"/>
    <w:rsid w:val="0078032C"/>
    <w:rsid w:val="00785182"/>
    <w:rsid w:val="00785A9D"/>
    <w:rsid w:val="00787C2B"/>
    <w:rsid w:val="00790809"/>
    <w:rsid w:val="0079436D"/>
    <w:rsid w:val="0079451B"/>
    <w:rsid w:val="007947E2"/>
    <w:rsid w:val="007A1827"/>
    <w:rsid w:val="007A4A59"/>
    <w:rsid w:val="007A5F51"/>
    <w:rsid w:val="007B0173"/>
    <w:rsid w:val="007B12F8"/>
    <w:rsid w:val="007B3AAF"/>
    <w:rsid w:val="007B4FF2"/>
    <w:rsid w:val="007B5975"/>
    <w:rsid w:val="007C14BE"/>
    <w:rsid w:val="007C1983"/>
    <w:rsid w:val="007C628B"/>
    <w:rsid w:val="007C6C52"/>
    <w:rsid w:val="007C7654"/>
    <w:rsid w:val="007D492B"/>
    <w:rsid w:val="007E31AC"/>
    <w:rsid w:val="007E3664"/>
    <w:rsid w:val="007E7EC9"/>
    <w:rsid w:val="007F25D7"/>
    <w:rsid w:val="007F30F9"/>
    <w:rsid w:val="007F558D"/>
    <w:rsid w:val="007F563F"/>
    <w:rsid w:val="007F7033"/>
    <w:rsid w:val="007F7E3B"/>
    <w:rsid w:val="00804EF0"/>
    <w:rsid w:val="00810D8C"/>
    <w:rsid w:val="0081186C"/>
    <w:rsid w:val="00814FE7"/>
    <w:rsid w:val="008165A0"/>
    <w:rsid w:val="008230B7"/>
    <w:rsid w:val="00823C88"/>
    <w:rsid w:val="0084523E"/>
    <w:rsid w:val="008459A5"/>
    <w:rsid w:val="008460C6"/>
    <w:rsid w:val="00861974"/>
    <w:rsid w:val="0086280F"/>
    <w:rsid w:val="00873619"/>
    <w:rsid w:val="008742D1"/>
    <w:rsid w:val="00882989"/>
    <w:rsid w:val="00882FB1"/>
    <w:rsid w:val="008868A5"/>
    <w:rsid w:val="00886C33"/>
    <w:rsid w:val="008877C0"/>
    <w:rsid w:val="00894307"/>
    <w:rsid w:val="008949EF"/>
    <w:rsid w:val="00895E80"/>
    <w:rsid w:val="00897431"/>
    <w:rsid w:val="008A3050"/>
    <w:rsid w:val="008A362A"/>
    <w:rsid w:val="008A49C6"/>
    <w:rsid w:val="008B07FF"/>
    <w:rsid w:val="008B56FC"/>
    <w:rsid w:val="008B5D46"/>
    <w:rsid w:val="008C4D1B"/>
    <w:rsid w:val="008C5E7F"/>
    <w:rsid w:val="008C6ACD"/>
    <w:rsid w:val="008D02A1"/>
    <w:rsid w:val="008D190C"/>
    <w:rsid w:val="008E2A6F"/>
    <w:rsid w:val="008E3625"/>
    <w:rsid w:val="008E400C"/>
    <w:rsid w:val="008E448A"/>
    <w:rsid w:val="008F0C43"/>
    <w:rsid w:val="008F3A39"/>
    <w:rsid w:val="008F592C"/>
    <w:rsid w:val="008F7036"/>
    <w:rsid w:val="00900B28"/>
    <w:rsid w:val="009032DF"/>
    <w:rsid w:val="009057FC"/>
    <w:rsid w:val="00912442"/>
    <w:rsid w:val="009175DB"/>
    <w:rsid w:val="00917925"/>
    <w:rsid w:val="0091796E"/>
    <w:rsid w:val="00917D80"/>
    <w:rsid w:val="00920492"/>
    <w:rsid w:val="00923F01"/>
    <w:rsid w:val="009260F9"/>
    <w:rsid w:val="009325B0"/>
    <w:rsid w:val="00940871"/>
    <w:rsid w:val="0094177E"/>
    <w:rsid w:val="009426EA"/>
    <w:rsid w:val="0094769F"/>
    <w:rsid w:val="0095391D"/>
    <w:rsid w:val="009545EE"/>
    <w:rsid w:val="00955B2D"/>
    <w:rsid w:val="00962072"/>
    <w:rsid w:val="00963762"/>
    <w:rsid w:val="00967552"/>
    <w:rsid w:val="0097003A"/>
    <w:rsid w:val="009754CB"/>
    <w:rsid w:val="009827DF"/>
    <w:rsid w:val="00982FAF"/>
    <w:rsid w:val="00983909"/>
    <w:rsid w:val="00983AD9"/>
    <w:rsid w:val="00983F3E"/>
    <w:rsid w:val="00985617"/>
    <w:rsid w:val="00992768"/>
    <w:rsid w:val="00993F0E"/>
    <w:rsid w:val="00997364"/>
    <w:rsid w:val="009A0A4F"/>
    <w:rsid w:val="009A1D78"/>
    <w:rsid w:val="009A642D"/>
    <w:rsid w:val="009A6903"/>
    <w:rsid w:val="009A7122"/>
    <w:rsid w:val="009B1FAA"/>
    <w:rsid w:val="009B4416"/>
    <w:rsid w:val="009B5E26"/>
    <w:rsid w:val="009C253B"/>
    <w:rsid w:val="009C2C84"/>
    <w:rsid w:val="009C3F33"/>
    <w:rsid w:val="009C657E"/>
    <w:rsid w:val="009D0BE9"/>
    <w:rsid w:val="009D187E"/>
    <w:rsid w:val="009D3556"/>
    <w:rsid w:val="009D6D90"/>
    <w:rsid w:val="009E2262"/>
    <w:rsid w:val="009E5993"/>
    <w:rsid w:val="009F0F90"/>
    <w:rsid w:val="009F129C"/>
    <w:rsid w:val="009F1D3C"/>
    <w:rsid w:val="00A00E23"/>
    <w:rsid w:val="00A03EB7"/>
    <w:rsid w:val="00A03F28"/>
    <w:rsid w:val="00A0690D"/>
    <w:rsid w:val="00A0726A"/>
    <w:rsid w:val="00A07358"/>
    <w:rsid w:val="00A074B1"/>
    <w:rsid w:val="00A10F5E"/>
    <w:rsid w:val="00A140D4"/>
    <w:rsid w:val="00A14899"/>
    <w:rsid w:val="00A20F9D"/>
    <w:rsid w:val="00A21989"/>
    <w:rsid w:val="00A224C6"/>
    <w:rsid w:val="00A22C5F"/>
    <w:rsid w:val="00A23208"/>
    <w:rsid w:val="00A34A1D"/>
    <w:rsid w:val="00A366D5"/>
    <w:rsid w:val="00A36D5C"/>
    <w:rsid w:val="00A40543"/>
    <w:rsid w:val="00A4090D"/>
    <w:rsid w:val="00A41536"/>
    <w:rsid w:val="00A42474"/>
    <w:rsid w:val="00A43B3F"/>
    <w:rsid w:val="00A5027A"/>
    <w:rsid w:val="00A51672"/>
    <w:rsid w:val="00A5340E"/>
    <w:rsid w:val="00A60F8C"/>
    <w:rsid w:val="00A627B7"/>
    <w:rsid w:val="00A63860"/>
    <w:rsid w:val="00A6392C"/>
    <w:rsid w:val="00A66925"/>
    <w:rsid w:val="00A76D9A"/>
    <w:rsid w:val="00A81DD4"/>
    <w:rsid w:val="00A831DC"/>
    <w:rsid w:val="00A841DE"/>
    <w:rsid w:val="00A859C0"/>
    <w:rsid w:val="00A87B5F"/>
    <w:rsid w:val="00A90BEE"/>
    <w:rsid w:val="00A967E8"/>
    <w:rsid w:val="00A97FFD"/>
    <w:rsid w:val="00AA08F4"/>
    <w:rsid w:val="00AA3D23"/>
    <w:rsid w:val="00AA3F78"/>
    <w:rsid w:val="00AA44BB"/>
    <w:rsid w:val="00AA7769"/>
    <w:rsid w:val="00AB093E"/>
    <w:rsid w:val="00AB2A11"/>
    <w:rsid w:val="00AB41FA"/>
    <w:rsid w:val="00AB635F"/>
    <w:rsid w:val="00AC026D"/>
    <w:rsid w:val="00AC08AF"/>
    <w:rsid w:val="00AC173C"/>
    <w:rsid w:val="00AC1855"/>
    <w:rsid w:val="00AC3832"/>
    <w:rsid w:val="00AC6CBE"/>
    <w:rsid w:val="00AC76A7"/>
    <w:rsid w:val="00AD005B"/>
    <w:rsid w:val="00AD395E"/>
    <w:rsid w:val="00AD39EC"/>
    <w:rsid w:val="00AD3BB2"/>
    <w:rsid w:val="00AD4CE7"/>
    <w:rsid w:val="00AD66E3"/>
    <w:rsid w:val="00AD6F15"/>
    <w:rsid w:val="00AE0B4B"/>
    <w:rsid w:val="00AE1904"/>
    <w:rsid w:val="00AE1CE7"/>
    <w:rsid w:val="00AE32B6"/>
    <w:rsid w:val="00AE53E5"/>
    <w:rsid w:val="00AF045C"/>
    <w:rsid w:val="00AF3D74"/>
    <w:rsid w:val="00AF6C03"/>
    <w:rsid w:val="00B001E1"/>
    <w:rsid w:val="00B00A03"/>
    <w:rsid w:val="00B049CB"/>
    <w:rsid w:val="00B06349"/>
    <w:rsid w:val="00B12946"/>
    <w:rsid w:val="00B170ED"/>
    <w:rsid w:val="00B1737C"/>
    <w:rsid w:val="00B20F7E"/>
    <w:rsid w:val="00B21DCE"/>
    <w:rsid w:val="00B250C9"/>
    <w:rsid w:val="00B26936"/>
    <w:rsid w:val="00B27A7C"/>
    <w:rsid w:val="00B31BF7"/>
    <w:rsid w:val="00B34E8A"/>
    <w:rsid w:val="00B36E04"/>
    <w:rsid w:val="00B445C0"/>
    <w:rsid w:val="00B45C3A"/>
    <w:rsid w:val="00B54878"/>
    <w:rsid w:val="00B54FE4"/>
    <w:rsid w:val="00B56957"/>
    <w:rsid w:val="00B57201"/>
    <w:rsid w:val="00B57C85"/>
    <w:rsid w:val="00B6166D"/>
    <w:rsid w:val="00B6449F"/>
    <w:rsid w:val="00B65D8C"/>
    <w:rsid w:val="00B708DD"/>
    <w:rsid w:val="00B7226A"/>
    <w:rsid w:val="00B753FD"/>
    <w:rsid w:val="00B75E54"/>
    <w:rsid w:val="00B76FD3"/>
    <w:rsid w:val="00B77C46"/>
    <w:rsid w:val="00B80BDF"/>
    <w:rsid w:val="00B80FC0"/>
    <w:rsid w:val="00B84556"/>
    <w:rsid w:val="00B84A54"/>
    <w:rsid w:val="00B922B7"/>
    <w:rsid w:val="00B935FE"/>
    <w:rsid w:val="00B9513D"/>
    <w:rsid w:val="00B97A2F"/>
    <w:rsid w:val="00BA0712"/>
    <w:rsid w:val="00BA1389"/>
    <w:rsid w:val="00BB3701"/>
    <w:rsid w:val="00BB4952"/>
    <w:rsid w:val="00BB728A"/>
    <w:rsid w:val="00BC03E2"/>
    <w:rsid w:val="00BC2333"/>
    <w:rsid w:val="00BC270F"/>
    <w:rsid w:val="00BC71D6"/>
    <w:rsid w:val="00BD1ACE"/>
    <w:rsid w:val="00BD3D7A"/>
    <w:rsid w:val="00BD4DA0"/>
    <w:rsid w:val="00BD5E41"/>
    <w:rsid w:val="00BD7693"/>
    <w:rsid w:val="00BD7EB3"/>
    <w:rsid w:val="00BE7F3A"/>
    <w:rsid w:val="00BF163D"/>
    <w:rsid w:val="00BF1D92"/>
    <w:rsid w:val="00BF5FDB"/>
    <w:rsid w:val="00C00BC4"/>
    <w:rsid w:val="00C00BF9"/>
    <w:rsid w:val="00C01765"/>
    <w:rsid w:val="00C0197A"/>
    <w:rsid w:val="00C031A7"/>
    <w:rsid w:val="00C04715"/>
    <w:rsid w:val="00C04D02"/>
    <w:rsid w:val="00C109EA"/>
    <w:rsid w:val="00C15E44"/>
    <w:rsid w:val="00C17AD5"/>
    <w:rsid w:val="00C203CA"/>
    <w:rsid w:val="00C22564"/>
    <w:rsid w:val="00C2343F"/>
    <w:rsid w:val="00C26D37"/>
    <w:rsid w:val="00C30586"/>
    <w:rsid w:val="00C30B3E"/>
    <w:rsid w:val="00C30F44"/>
    <w:rsid w:val="00C3178A"/>
    <w:rsid w:val="00C32E0A"/>
    <w:rsid w:val="00C35316"/>
    <w:rsid w:val="00C37617"/>
    <w:rsid w:val="00C41922"/>
    <w:rsid w:val="00C42BB4"/>
    <w:rsid w:val="00C460C8"/>
    <w:rsid w:val="00C50D8B"/>
    <w:rsid w:val="00C51227"/>
    <w:rsid w:val="00C52CC0"/>
    <w:rsid w:val="00C533B8"/>
    <w:rsid w:val="00C622A7"/>
    <w:rsid w:val="00C626ED"/>
    <w:rsid w:val="00C6293C"/>
    <w:rsid w:val="00C64266"/>
    <w:rsid w:val="00C70790"/>
    <w:rsid w:val="00C711CD"/>
    <w:rsid w:val="00C7298A"/>
    <w:rsid w:val="00C7643F"/>
    <w:rsid w:val="00C7687E"/>
    <w:rsid w:val="00C80F57"/>
    <w:rsid w:val="00C81A91"/>
    <w:rsid w:val="00C91432"/>
    <w:rsid w:val="00C917AB"/>
    <w:rsid w:val="00C91B19"/>
    <w:rsid w:val="00C94E82"/>
    <w:rsid w:val="00CA0561"/>
    <w:rsid w:val="00CA0A22"/>
    <w:rsid w:val="00CA18AD"/>
    <w:rsid w:val="00CA2B5A"/>
    <w:rsid w:val="00CA31EA"/>
    <w:rsid w:val="00CA59A3"/>
    <w:rsid w:val="00CA654D"/>
    <w:rsid w:val="00CB1305"/>
    <w:rsid w:val="00CB20BB"/>
    <w:rsid w:val="00CB2B49"/>
    <w:rsid w:val="00CC2385"/>
    <w:rsid w:val="00CC627F"/>
    <w:rsid w:val="00CC762A"/>
    <w:rsid w:val="00CD1398"/>
    <w:rsid w:val="00CD144D"/>
    <w:rsid w:val="00CD19BF"/>
    <w:rsid w:val="00CD34EA"/>
    <w:rsid w:val="00CD5956"/>
    <w:rsid w:val="00CE1340"/>
    <w:rsid w:val="00CE6D5B"/>
    <w:rsid w:val="00CF1FA2"/>
    <w:rsid w:val="00D000A3"/>
    <w:rsid w:val="00D028AB"/>
    <w:rsid w:val="00D05E3F"/>
    <w:rsid w:val="00D15DF0"/>
    <w:rsid w:val="00D1605B"/>
    <w:rsid w:val="00D17425"/>
    <w:rsid w:val="00D217AD"/>
    <w:rsid w:val="00D25DEE"/>
    <w:rsid w:val="00D313EF"/>
    <w:rsid w:val="00D31492"/>
    <w:rsid w:val="00D32FFA"/>
    <w:rsid w:val="00D33374"/>
    <w:rsid w:val="00D35797"/>
    <w:rsid w:val="00D367E3"/>
    <w:rsid w:val="00D443FF"/>
    <w:rsid w:val="00D45C74"/>
    <w:rsid w:val="00D468E4"/>
    <w:rsid w:val="00D50170"/>
    <w:rsid w:val="00D5342F"/>
    <w:rsid w:val="00D545AA"/>
    <w:rsid w:val="00D550D4"/>
    <w:rsid w:val="00D6230D"/>
    <w:rsid w:val="00D65BB5"/>
    <w:rsid w:val="00D712E6"/>
    <w:rsid w:val="00D7312D"/>
    <w:rsid w:val="00D77DD9"/>
    <w:rsid w:val="00D80E24"/>
    <w:rsid w:val="00D81952"/>
    <w:rsid w:val="00D81B5F"/>
    <w:rsid w:val="00D829C7"/>
    <w:rsid w:val="00D85A74"/>
    <w:rsid w:val="00D862DB"/>
    <w:rsid w:val="00D87781"/>
    <w:rsid w:val="00D952B7"/>
    <w:rsid w:val="00D96AB9"/>
    <w:rsid w:val="00D96ADC"/>
    <w:rsid w:val="00D97413"/>
    <w:rsid w:val="00DA00F7"/>
    <w:rsid w:val="00DA07DA"/>
    <w:rsid w:val="00DA0A1C"/>
    <w:rsid w:val="00DA1113"/>
    <w:rsid w:val="00DA2B83"/>
    <w:rsid w:val="00DA3251"/>
    <w:rsid w:val="00DA4EA5"/>
    <w:rsid w:val="00DB18C9"/>
    <w:rsid w:val="00DB4B39"/>
    <w:rsid w:val="00DB585F"/>
    <w:rsid w:val="00DC334E"/>
    <w:rsid w:val="00DC508E"/>
    <w:rsid w:val="00DC5153"/>
    <w:rsid w:val="00DC60D3"/>
    <w:rsid w:val="00DD2ABE"/>
    <w:rsid w:val="00DD41B0"/>
    <w:rsid w:val="00DD5C1B"/>
    <w:rsid w:val="00DE225F"/>
    <w:rsid w:val="00DE4E7C"/>
    <w:rsid w:val="00DE56E2"/>
    <w:rsid w:val="00DE58B4"/>
    <w:rsid w:val="00DE5A77"/>
    <w:rsid w:val="00DF26B8"/>
    <w:rsid w:val="00DF37DD"/>
    <w:rsid w:val="00DF3CEF"/>
    <w:rsid w:val="00DF5BDF"/>
    <w:rsid w:val="00E02272"/>
    <w:rsid w:val="00E040C0"/>
    <w:rsid w:val="00E106CB"/>
    <w:rsid w:val="00E151DD"/>
    <w:rsid w:val="00E156ED"/>
    <w:rsid w:val="00E21187"/>
    <w:rsid w:val="00E23288"/>
    <w:rsid w:val="00E24D0A"/>
    <w:rsid w:val="00E2563B"/>
    <w:rsid w:val="00E276A3"/>
    <w:rsid w:val="00E34AB2"/>
    <w:rsid w:val="00E37807"/>
    <w:rsid w:val="00E42DF3"/>
    <w:rsid w:val="00E45996"/>
    <w:rsid w:val="00E45B9C"/>
    <w:rsid w:val="00E463A7"/>
    <w:rsid w:val="00E46DE0"/>
    <w:rsid w:val="00E50F6E"/>
    <w:rsid w:val="00E54819"/>
    <w:rsid w:val="00E54C16"/>
    <w:rsid w:val="00E56402"/>
    <w:rsid w:val="00E56428"/>
    <w:rsid w:val="00E629DA"/>
    <w:rsid w:val="00E62EF0"/>
    <w:rsid w:val="00E70290"/>
    <w:rsid w:val="00E7566B"/>
    <w:rsid w:val="00E856E6"/>
    <w:rsid w:val="00E969FC"/>
    <w:rsid w:val="00EB3B03"/>
    <w:rsid w:val="00EB47F4"/>
    <w:rsid w:val="00EC4D24"/>
    <w:rsid w:val="00EC4D4E"/>
    <w:rsid w:val="00EC7471"/>
    <w:rsid w:val="00ED3C0F"/>
    <w:rsid w:val="00ED46CF"/>
    <w:rsid w:val="00ED6FBD"/>
    <w:rsid w:val="00ED6FE2"/>
    <w:rsid w:val="00EE25A9"/>
    <w:rsid w:val="00EE5521"/>
    <w:rsid w:val="00EE699D"/>
    <w:rsid w:val="00EF2F47"/>
    <w:rsid w:val="00EF406A"/>
    <w:rsid w:val="00EF6357"/>
    <w:rsid w:val="00F00FDA"/>
    <w:rsid w:val="00F0213E"/>
    <w:rsid w:val="00F02908"/>
    <w:rsid w:val="00F0342C"/>
    <w:rsid w:val="00F059C4"/>
    <w:rsid w:val="00F05C20"/>
    <w:rsid w:val="00F05C2B"/>
    <w:rsid w:val="00F11EA6"/>
    <w:rsid w:val="00F14F23"/>
    <w:rsid w:val="00F168CE"/>
    <w:rsid w:val="00F17BC4"/>
    <w:rsid w:val="00F22561"/>
    <w:rsid w:val="00F25EA9"/>
    <w:rsid w:val="00F265BF"/>
    <w:rsid w:val="00F26E22"/>
    <w:rsid w:val="00F27A0B"/>
    <w:rsid w:val="00F358E4"/>
    <w:rsid w:val="00F3608A"/>
    <w:rsid w:val="00F41360"/>
    <w:rsid w:val="00F42F0B"/>
    <w:rsid w:val="00F44EF2"/>
    <w:rsid w:val="00F51028"/>
    <w:rsid w:val="00F56F1D"/>
    <w:rsid w:val="00F613C4"/>
    <w:rsid w:val="00F63A3A"/>
    <w:rsid w:val="00F65808"/>
    <w:rsid w:val="00F67809"/>
    <w:rsid w:val="00F705CE"/>
    <w:rsid w:val="00F74A88"/>
    <w:rsid w:val="00F813E0"/>
    <w:rsid w:val="00F83BBB"/>
    <w:rsid w:val="00F904AE"/>
    <w:rsid w:val="00F95E2C"/>
    <w:rsid w:val="00FA1A9A"/>
    <w:rsid w:val="00FA2458"/>
    <w:rsid w:val="00FA2E33"/>
    <w:rsid w:val="00FA3139"/>
    <w:rsid w:val="00FA5525"/>
    <w:rsid w:val="00FA67F4"/>
    <w:rsid w:val="00FB0A29"/>
    <w:rsid w:val="00FB568B"/>
    <w:rsid w:val="00FB714C"/>
    <w:rsid w:val="00FC0A32"/>
    <w:rsid w:val="00FC2B76"/>
    <w:rsid w:val="00FC7614"/>
    <w:rsid w:val="00FD14FE"/>
    <w:rsid w:val="00FD505A"/>
    <w:rsid w:val="00FE0B47"/>
    <w:rsid w:val="00FE1F12"/>
    <w:rsid w:val="00FE359A"/>
    <w:rsid w:val="00FE3897"/>
    <w:rsid w:val="00FE6955"/>
    <w:rsid w:val="00FF127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0EF91"/>
  <w15:docId w15:val="{1C706B5D-8DB1-4838-ACC2-745977A3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0093"/>
    <w:pPr>
      <w:keepNext/>
      <w:spacing w:after="0" w:line="240" w:lineRule="auto"/>
      <w:ind w:firstLine="720"/>
      <w:jc w:val="both"/>
      <w:outlineLvl w:val="0"/>
    </w:pPr>
    <w:rPr>
      <w:rFonts w:ascii="Times New Roman" w:eastAsia="Times New Roman" w:hAnsi="Times New Roman" w:cs="Times New Roman"/>
      <w:b/>
      <w:caps/>
      <w:sz w:val="24"/>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82"/>
    <w:pPr>
      <w:ind w:left="720"/>
      <w:contextualSpacing/>
    </w:pPr>
  </w:style>
  <w:style w:type="character" w:customStyle="1" w:styleId="Heading1Char">
    <w:name w:val="Heading 1 Char"/>
    <w:basedOn w:val="DefaultParagraphFont"/>
    <w:link w:val="Heading1"/>
    <w:uiPriority w:val="99"/>
    <w:rsid w:val="00230093"/>
    <w:rPr>
      <w:rFonts w:ascii="Times New Roman" w:eastAsia="Times New Roman" w:hAnsi="Times New Roman" w:cs="Times New Roman"/>
      <w:b/>
      <w:caps/>
      <w:sz w:val="24"/>
      <w:szCs w:val="20"/>
      <w:lang w:eastAsia="bg-BG"/>
    </w:rPr>
  </w:style>
  <w:style w:type="paragraph" w:styleId="BalloonText">
    <w:name w:val="Balloon Text"/>
    <w:basedOn w:val="Normal"/>
    <w:link w:val="BalloonTextChar"/>
    <w:uiPriority w:val="99"/>
    <w:semiHidden/>
    <w:unhideWhenUsed/>
    <w:rsid w:val="004D6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0F5"/>
    <w:rPr>
      <w:rFonts w:ascii="Tahoma" w:hAnsi="Tahoma" w:cs="Tahoma"/>
      <w:sz w:val="16"/>
      <w:szCs w:val="16"/>
    </w:rPr>
  </w:style>
  <w:style w:type="paragraph" w:styleId="Header">
    <w:name w:val="header"/>
    <w:basedOn w:val="Normal"/>
    <w:link w:val="HeaderChar"/>
    <w:uiPriority w:val="99"/>
    <w:unhideWhenUsed/>
    <w:rsid w:val="00DF5B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5BDF"/>
  </w:style>
  <w:style w:type="paragraph" w:styleId="Footer">
    <w:name w:val="footer"/>
    <w:basedOn w:val="Normal"/>
    <w:link w:val="FooterChar"/>
    <w:uiPriority w:val="99"/>
    <w:rsid w:val="00DF5BDF"/>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DF5BDF"/>
    <w:rPr>
      <w:rFonts w:ascii="Times New Roman" w:eastAsia="Times New Roman" w:hAnsi="Times New Roman" w:cs="Times New Roman"/>
      <w:sz w:val="24"/>
      <w:szCs w:val="24"/>
      <w:lang w:eastAsia="bg-BG"/>
    </w:rPr>
  </w:style>
  <w:style w:type="table" w:styleId="TableGrid">
    <w:name w:val="Table Grid"/>
    <w:basedOn w:val="TableNormal"/>
    <w:uiPriority w:val="59"/>
    <w:rsid w:val="00DF5BD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75E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75E54"/>
    <w:rPr>
      <w:rFonts w:ascii="Consolas" w:hAnsi="Consolas"/>
      <w:sz w:val="21"/>
      <w:szCs w:val="21"/>
    </w:rPr>
  </w:style>
  <w:style w:type="table" w:customStyle="1" w:styleId="TableGrid1">
    <w:name w:val="Table Grid1"/>
    <w:basedOn w:val="TableNormal"/>
    <w:next w:val="TableGrid"/>
    <w:uiPriority w:val="59"/>
    <w:rsid w:val="00B8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75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021D3"/>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paragraph" w:styleId="BodyTextIndent">
    <w:name w:val="Body Text Indent"/>
    <w:basedOn w:val="Normal"/>
    <w:link w:val="BodyTextIndentChar"/>
    <w:uiPriority w:val="99"/>
    <w:unhideWhenUsed/>
    <w:rsid w:val="00AC3832"/>
    <w:pPr>
      <w:spacing w:before="120" w:after="120"/>
      <w:ind w:firstLine="360"/>
      <w:jc w:val="both"/>
    </w:pPr>
    <w:rPr>
      <w:rFonts w:ascii="Times New Roman" w:hAnsi="Times New Roman" w:cs="Times New Roman"/>
      <w:i/>
    </w:rPr>
  </w:style>
  <w:style w:type="character" w:customStyle="1" w:styleId="BodyTextIndentChar">
    <w:name w:val="Body Text Indent Char"/>
    <w:basedOn w:val="DefaultParagraphFont"/>
    <w:link w:val="BodyTextIndent"/>
    <w:uiPriority w:val="99"/>
    <w:rsid w:val="00AC3832"/>
    <w:rPr>
      <w:rFonts w:ascii="Times New Roman" w:hAnsi="Times New Roman" w:cs="Times New Roman"/>
      <w:i/>
    </w:rPr>
  </w:style>
  <w:style w:type="paragraph" w:styleId="FootnoteText">
    <w:name w:val="footnote text"/>
    <w:basedOn w:val="Normal"/>
    <w:link w:val="FootnoteTextChar"/>
    <w:uiPriority w:val="99"/>
    <w:semiHidden/>
    <w:unhideWhenUsed/>
    <w:rsid w:val="002B07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07FF"/>
    <w:rPr>
      <w:sz w:val="20"/>
      <w:szCs w:val="20"/>
    </w:rPr>
  </w:style>
  <w:style w:type="character" w:styleId="FootnoteReference">
    <w:name w:val="footnote reference"/>
    <w:basedOn w:val="DefaultParagraphFont"/>
    <w:uiPriority w:val="99"/>
    <w:semiHidden/>
    <w:unhideWhenUsed/>
    <w:rsid w:val="002B0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9176">
      <w:bodyDiv w:val="1"/>
      <w:marLeft w:val="0"/>
      <w:marRight w:val="0"/>
      <w:marTop w:val="0"/>
      <w:marBottom w:val="0"/>
      <w:divBdr>
        <w:top w:val="none" w:sz="0" w:space="0" w:color="auto"/>
        <w:left w:val="none" w:sz="0" w:space="0" w:color="auto"/>
        <w:bottom w:val="none" w:sz="0" w:space="0" w:color="auto"/>
        <w:right w:val="none" w:sz="0" w:space="0" w:color="auto"/>
      </w:divBdr>
    </w:div>
    <w:div w:id="188639234">
      <w:bodyDiv w:val="1"/>
      <w:marLeft w:val="0"/>
      <w:marRight w:val="0"/>
      <w:marTop w:val="0"/>
      <w:marBottom w:val="0"/>
      <w:divBdr>
        <w:top w:val="none" w:sz="0" w:space="0" w:color="auto"/>
        <w:left w:val="none" w:sz="0" w:space="0" w:color="auto"/>
        <w:bottom w:val="none" w:sz="0" w:space="0" w:color="auto"/>
        <w:right w:val="none" w:sz="0" w:space="0" w:color="auto"/>
      </w:divBdr>
    </w:div>
    <w:div w:id="190413203">
      <w:bodyDiv w:val="1"/>
      <w:marLeft w:val="0"/>
      <w:marRight w:val="0"/>
      <w:marTop w:val="0"/>
      <w:marBottom w:val="0"/>
      <w:divBdr>
        <w:top w:val="none" w:sz="0" w:space="0" w:color="auto"/>
        <w:left w:val="none" w:sz="0" w:space="0" w:color="auto"/>
        <w:bottom w:val="none" w:sz="0" w:space="0" w:color="auto"/>
        <w:right w:val="none" w:sz="0" w:space="0" w:color="auto"/>
      </w:divBdr>
    </w:div>
    <w:div w:id="200484046">
      <w:bodyDiv w:val="1"/>
      <w:marLeft w:val="0"/>
      <w:marRight w:val="0"/>
      <w:marTop w:val="0"/>
      <w:marBottom w:val="0"/>
      <w:divBdr>
        <w:top w:val="none" w:sz="0" w:space="0" w:color="auto"/>
        <w:left w:val="none" w:sz="0" w:space="0" w:color="auto"/>
        <w:bottom w:val="none" w:sz="0" w:space="0" w:color="auto"/>
        <w:right w:val="none" w:sz="0" w:space="0" w:color="auto"/>
      </w:divBdr>
    </w:div>
    <w:div w:id="208878257">
      <w:bodyDiv w:val="1"/>
      <w:marLeft w:val="0"/>
      <w:marRight w:val="0"/>
      <w:marTop w:val="0"/>
      <w:marBottom w:val="0"/>
      <w:divBdr>
        <w:top w:val="none" w:sz="0" w:space="0" w:color="auto"/>
        <w:left w:val="none" w:sz="0" w:space="0" w:color="auto"/>
        <w:bottom w:val="none" w:sz="0" w:space="0" w:color="auto"/>
        <w:right w:val="none" w:sz="0" w:space="0" w:color="auto"/>
      </w:divBdr>
    </w:div>
    <w:div w:id="294725001">
      <w:bodyDiv w:val="1"/>
      <w:marLeft w:val="0"/>
      <w:marRight w:val="0"/>
      <w:marTop w:val="0"/>
      <w:marBottom w:val="0"/>
      <w:divBdr>
        <w:top w:val="none" w:sz="0" w:space="0" w:color="auto"/>
        <w:left w:val="none" w:sz="0" w:space="0" w:color="auto"/>
        <w:bottom w:val="none" w:sz="0" w:space="0" w:color="auto"/>
        <w:right w:val="none" w:sz="0" w:space="0" w:color="auto"/>
      </w:divBdr>
    </w:div>
    <w:div w:id="331641744">
      <w:bodyDiv w:val="1"/>
      <w:marLeft w:val="0"/>
      <w:marRight w:val="0"/>
      <w:marTop w:val="0"/>
      <w:marBottom w:val="0"/>
      <w:divBdr>
        <w:top w:val="none" w:sz="0" w:space="0" w:color="auto"/>
        <w:left w:val="none" w:sz="0" w:space="0" w:color="auto"/>
        <w:bottom w:val="none" w:sz="0" w:space="0" w:color="auto"/>
        <w:right w:val="none" w:sz="0" w:space="0" w:color="auto"/>
      </w:divBdr>
    </w:div>
    <w:div w:id="417601320">
      <w:bodyDiv w:val="1"/>
      <w:marLeft w:val="0"/>
      <w:marRight w:val="0"/>
      <w:marTop w:val="0"/>
      <w:marBottom w:val="0"/>
      <w:divBdr>
        <w:top w:val="none" w:sz="0" w:space="0" w:color="auto"/>
        <w:left w:val="none" w:sz="0" w:space="0" w:color="auto"/>
        <w:bottom w:val="none" w:sz="0" w:space="0" w:color="auto"/>
        <w:right w:val="none" w:sz="0" w:space="0" w:color="auto"/>
      </w:divBdr>
    </w:div>
    <w:div w:id="622033206">
      <w:bodyDiv w:val="1"/>
      <w:marLeft w:val="0"/>
      <w:marRight w:val="0"/>
      <w:marTop w:val="0"/>
      <w:marBottom w:val="0"/>
      <w:divBdr>
        <w:top w:val="none" w:sz="0" w:space="0" w:color="auto"/>
        <w:left w:val="none" w:sz="0" w:space="0" w:color="auto"/>
        <w:bottom w:val="none" w:sz="0" w:space="0" w:color="auto"/>
        <w:right w:val="none" w:sz="0" w:space="0" w:color="auto"/>
      </w:divBdr>
    </w:div>
    <w:div w:id="690568611">
      <w:bodyDiv w:val="1"/>
      <w:marLeft w:val="0"/>
      <w:marRight w:val="0"/>
      <w:marTop w:val="0"/>
      <w:marBottom w:val="0"/>
      <w:divBdr>
        <w:top w:val="none" w:sz="0" w:space="0" w:color="auto"/>
        <w:left w:val="none" w:sz="0" w:space="0" w:color="auto"/>
        <w:bottom w:val="none" w:sz="0" w:space="0" w:color="auto"/>
        <w:right w:val="none" w:sz="0" w:space="0" w:color="auto"/>
      </w:divBdr>
    </w:div>
    <w:div w:id="742291303">
      <w:bodyDiv w:val="1"/>
      <w:marLeft w:val="0"/>
      <w:marRight w:val="0"/>
      <w:marTop w:val="0"/>
      <w:marBottom w:val="0"/>
      <w:divBdr>
        <w:top w:val="none" w:sz="0" w:space="0" w:color="auto"/>
        <w:left w:val="none" w:sz="0" w:space="0" w:color="auto"/>
        <w:bottom w:val="none" w:sz="0" w:space="0" w:color="auto"/>
        <w:right w:val="none" w:sz="0" w:space="0" w:color="auto"/>
      </w:divBdr>
    </w:div>
    <w:div w:id="769276440">
      <w:bodyDiv w:val="1"/>
      <w:marLeft w:val="0"/>
      <w:marRight w:val="0"/>
      <w:marTop w:val="0"/>
      <w:marBottom w:val="0"/>
      <w:divBdr>
        <w:top w:val="none" w:sz="0" w:space="0" w:color="auto"/>
        <w:left w:val="none" w:sz="0" w:space="0" w:color="auto"/>
        <w:bottom w:val="none" w:sz="0" w:space="0" w:color="auto"/>
        <w:right w:val="none" w:sz="0" w:space="0" w:color="auto"/>
      </w:divBdr>
    </w:div>
    <w:div w:id="786697271">
      <w:bodyDiv w:val="1"/>
      <w:marLeft w:val="0"/>
      <w:marRight w:val="0"/>
      <w:marTop w:val="0"/>
      <w:marBottom w:val="0"/>
      <w:divBdr>
        <w:top w:val="none" w:sz="0" w:space="0" w:color="auto"/>
        <w:left w:val="none" w:sz="0" w:space="0" w:color="auto"/>
        <w:bottom w:val="none" w:sz="0" w:space="0" w:color="auto"/>
        <w:right w:val="none" w:sz="0" w:space="0" w:color="auto"/>
      </w:divBdr>
    </w:div>
    <w:div w:id="789935607">
      <w:bodyDiv w:val="1"/>
      <w:marLeft w:val="0"/>
      <w:marRight w:val="0"/>
      <w:marTop w:val="0"/>
      <w:marBottom w:val="0"/>
      <w:divBdr>
        <w:top w:val="none" w:sz="0" w:space="0" w:color="auto"/>
        <w:left w:val="none" w:sz="0" w:space="0" w:color="auto"/>
        <w:bottom w:val="none" w:sz="0" w:space="0" w:color="auto"/>
        <w:right w:val="none" w:sz="0" w:space="0" w:color="auto"/>
      </w:divBdr>
    </w:div>
    <w:div w:id="792403863">
      <w:bodyDiv w:val="1"/>
      <w:marLeft w:val="0"/>
      <w:marRight w:val="0"/>
      <w:marTop w:val="0"/>
      <w:marBottom w:val="0"/>
      <w:divBdr>
        <w:top w:val="none" w:sz="0" w:space="0" w:color="auto"/>
        <w:left w:val="none" w:sz="0" w:space="0" w:color="auto"/>
        <w:bottom w:val="none" w:sz="0" w:space="0" w:color="auto"/>
        <w:right w:val="none" w:sz="0" w:space="0" w:color="auto"/>
      </w:divBdr>
    </w:div>
    <w:div w:id="881405150">
      <w:bodyDiv w:val="1"/>
      <w:marLeft w:val="0"/>
      <w:marRight w:val="0"/>
      <w:marTop w:val="0"/>
      <w:marBottom w:val="0"/>
      <w:divBdr>
        <w:top w:val="none" w:sz="0" w:space="0" w:color="auto"/>
        <w:left w:val="none" w:sz="0" w:space="0" w:color="auto"/>
        <w:bottom w:val="none" w:sz="0" w:space="0" w:color="auto"/>
        <w:right w:val="none" w:sz="0" w:space="0" w:color="auto"/>
      </w:divBdr>
    </w:div>
    <w:div w:id="932594011">
      <w:bodyDiv w:val="1"/>
      <w:marLeft w:val="0"/>
      <w:marRight w:val="0"/>
      <w:marTop w:val="0"/>
      <w:marBottom w:val="0"/>
      <w:divBdr>
        <w:top w:val="none" w:sz="0" w:space="0" w:color="auto"/>
        <w:left w:val="none" w:sz="0" w:space="0" w:color="auto"/>
        <w:bottom w:val="none" w:sz="0" w:space="0" w:color="auto"/>
        <w:right w:val="none" w:sz="0" w:space="0" w:color="auto"/>
      </w:divBdr>
    </w:div>
    <w:div w:id="1035496640">
      <w:bodyDiv w:val="1"/>
      <w:marLeft w:val="0"/>
      <w:marRight w:val="0"/>
      <w:marTop w:val="0"/>
      <w:marBottom w:val="0"/>
      <w:divBdr>
        <w:top w:val="none" w:sz="0" w:space="0" w:color="auto"/>
        <w:left w:val="none" w:sz="0" w:space="0" w:color="auto"/>
        <w:bottom w:val="none" w:sz="0" w:space="0" w:color="auto"/>
        <w:right w:val="none" w:sz="0" w:space="0" w:color="auto"/>
      </w:divBdr>
    </w:div>
    <w:div w:id="1130899741">
      <w:bodyDiv w:val="1"/>
      <w:marLeft w:val="0"/>
      <w:marRight w:val="0"/>
      <w:marTop w:val="0"/>
      <w:marBottom w:val="0"/>
      <w:divBdr>
        <w:top w:val="none" w:sz="0" w:space="0" w:color="auto"/>
        <w:left w:val="none" w:sz="0" w:space="0" w:color="auto"/>
        <w:bottom w:val="none" w:sz="0" w:space="0" w:color="auto"/>
        <w:right w:val="none" w:sz="0" w:space="0" w:color="auto"/>
      </w:divBdr>
    </w:div>
    <w:div w:id="1230113844">
      <w:bodyDiv w:val="1"/>
      <w:marLeft w:val="0"/>
      <w:marRight w:val="0"/>
      <w:marTop w:val="0"/>
      <w:marBottom w:val="0"/>
      <w:divBdr>
        <w:top w:val="none" w:sz="0" w:space="0" w:color="auto"/>
        <w:left w:val="none" w:sz="0" w:space="0" w:color="auto"/>
        <w:bottom w:val="none" w:sz="0" w:space="0" w:color="auto"/>
        <w:right w:val="none" w:sz="0" w:space="0" w:color="auto"/>
      </w:divBdr>
    </w:div>
    <w:div w:id="1232275561">
      <w:bodyDiv w:val="1"/>
      <w:marLeft w:val="0"/>
      <w:marRight w:val="0"/>
      <w:marTop w:val="0"/>
      <w:marBottom w:val="0"/>
      <w:divBdr>
        <w:top w:val="none" w:sz="0" w:space="0" w:color="auto"/>
        <w:left w:val="none" w:sz="0" w:space="0" w:color="auto"/>
        <w:bottom w:val="none" w:sz="0" w:space="0" w:color="auto"/>
        <w:right w:val="none" w:sz="0" w:space="0" w:color="auto"/>
      </w:divBdr>
    </w:div>
    <w:div w:id="1238638464">
      <w:bodyDiv w:val="1"/>
      <w:marLeft w:val="0"/>
      <w:marRight w:val="0"/>
      <w:marTop w:val="0"/>
      <w:marBottom w:val="0"/>
      <w:divBdr>
        <w:top w:val="none" w:sz="0" w:space="0" w:color="auto"/>
        <w:left w:val="none" w:sz="0" w:space="0" w:color="auto"/>
        <w:bottom w:val="none" w:sz="0" w:space="0" w:color="auto"/>
        <w:right w:val="none" w:sz="0" w:space="0" w:color="auto"/>
      </w:divBdr>
    </w:div>
    <w:div w:id="1273395667">
      <w:bodyDiv w:val="1"/>
      <w:marLeft w:val="0"/>
      <w:marRight w:val="0"/>
      <w:marTop w:val="0"/>
      <w:marBottom w:val="0"/>
      <w:divBdr>
        <w:top w:val="none" w:sz="0" w:space="0" w:color="auto"/>
        <w:left w:val="none" w:sz="0" w:space="0" w:color="auto"/>
        <w:bottom w:val="none" w:sz="0" w:space="0" w:color="auto"/>
        <w:right w:val="none" w:sz="0" w:space="0" w:color="auto"/>
      </w:divBdr>
    </w:div>
    <w:div w:id="1312757669">
      <w:bodyDiv w:val="1"/>
      <w:marLeft w:val="0"/>
      <w:marRight w:val="0"/>
      <w:marTop w:val="0"/>
      <w:marBottom w:val="0"/>
      <w:divBdr>
        <w:top w:val="none" w:sz="0" w:space="0" w:color="auto"/>
        <w:left w:val="none" w:sz="0" w:space="0" w:color="auto"/>
        <w:bottom w:val="none" w:sz="0" w:space="0" w:color="auto"/>
        <w:right w:val="none" w:sz="0" w:space="0" w:color="auto"/>
      </w:divBdr>
    </w:div>
    <w:div w:id="1319117085">
      <w:bodyDiv w:val="1"/>
      <w:marLeft w:val="0"/>
      <w:marRight w:val="0"/>
      <w:marTop w:val="0"/>
      <w:marBottom w:val="0"/>
      <w:divBdr>
        <w:top w:val="none" w:sz="0" w:space="0" w:color="auto"/>
        <w:left w:val="none" w:sz="0" w:space="0" w:color="auto"/>
        <w:bottom w:val="none" w:sz="0" w:space="0" w:color="auto"/>
        <w:right w:val="none" w:sz="0" w:space="0" w:color="auto"/>
      </w:divBdr>
    </w:div>
    <w:div w:id="1347363889">
      <w:bodyDiv w:val="1"/>
      <w:marLeft w:val="0"/>
      <w:marRight w:val="0"/>
      <w:marTop w:val="0"/>
      <w:marBottom w:val="0"/>
      <w:divBdr>
        <w:top w:val="none" w:sz="0" w:space="0" w:color="auto"/>
        <w:left w:val="none" w:sz="0" w:space="0" w:color="auto"/>
        <w:bottom w:val="none" w:sz="0" w:space="0" w:color="auto"/>
        <w:right w:val="none" w:sz="0" w:space="0" w:color="auto"/>
      </w:divBdr>
    </w:div>
    <w:div w:id="1401976562">
      <w:bodyDiv w:val="1"/>
      <w:marLeft w:val="0"/>
      <w:marRight w:val="0"/>
      <w:marTop w:val="0"/>
      <w:marBottom w:val="0"/>
      <w:divBdr>
        <w:top w:val="none" w:sz="0" w:space="0" w:color="auto"/>
        <w:left w:val="none" w:sz="0" w:space="0" w:color="auto"/>
        <w:bottom w:val="none" w:sz="0" w:space="0" w:color="auto"/>
        <w:right w:val="none" w:sz="0" w:space="0" w:color="auto"/>
      </w:divBdr>
    </w:div>
    <w:div w:id="1522281747">
      <w:bodyDiv w:val="1"/>
      <w:marLeft w:val="0"/>
      <w:marRight w:val="0"/>
      <w:marTop w:val="0"/>
      <w:marBottom w:val="0"/>
      <w:divBdr>
        <w:top w:val="none" w:sz="0" w:space="0" w:color="auto"/>
        <w:left w:val="none" w:sz="0" w:space="0" w:color="auto"/>
        <w:bottom w:val="none" w:sz="0" w:space="0" w:color="auto"/>
        <w:right w:val="none" w:sz="0" w:space="0" w:color="auto"/>
      </w:divBdr>
    </w:div>
    <w:div w:id="1524858696">
      <w:bodyDiv w:val="1"/>
      <w:marLeft w:val="0"/>
      <w:marRight w:val="0"/>
      <w:marTop w:val="0"/>
      <w:marBottom w:val="0"/>
      <w:divBdr>
        <w:top w:val="none" w:sz="0" w:space="0" w:color="auto"/>
        <w:left w:val="none" w:sz="0" w:space="0" w:color="auto"/>
        <w:bottom w:val="none" w:sz="0" w:space="0" w:color="auto"/>
        <w:right w:val="none" w:sz="0" w:space="0" w:color="auto"/>
      </w:divBdr>
    </w:div>
    <w:div w:id="1570723610">
      <w:bodyDiv w:val="1"/>
      <w:marLeft w:val="0"/>
      <w:marRight w:val="0"/>
      <w:marTop w:val="0"/>
      <w:marBottom w:val="0"/>
      <w:divBdr>
        <w:top w:val="none" w:sz="0" w:space="0" w:color="auto"/>
        <w:left w:val="none" w:sz="0" w:space="0" w:color="auto"/>
        <w:bottom w:val="none" w:sz="0" w:space="0" w:color="auto"/>
        <w:right w:val="none" w:sz="0" w:space="0" w:color="auto"/>
      </w:divBdr>
    </w:div>
    <w:div w:id="1588880203">
      <w:bodyDiv w:val="1"/>
      <w:marLeft w:val="0"/>
      <w:marRight w:val="0"/>
      <w:marTop w:val="0"/>
      <w:marBottom w:val="0"/>
      <w:divBdr>
        <w:top w:val="none" w:sz="0" w:space="0" w:color="auto"/>
        <w:left w:val="none" w:sz="0" w:space="0" w:color="auto"/>
        <w:bottom w:val="none" w:sz="0" w:space="0" w:color="auto"/>
        <w:right w:val="none" w:sz="0" w:space="0" w:color="auto"/>
      </w:divBdr>
    </w:div>
    <w:div w:id="1680349070">
      <w:bodyDiv w:val="1"/>
      <w:marLeft w:val="0"/>
      <w:marRight w:val="0"/>
      <w:marTop w:val="0"/>
      <w:marBottom w:val="0"/>
      <w:divBdr>
        <w:top w:val="none" w:sz="0" w:space="0" w:color="auto"/>
        <w:left w:val="none" w:sz="0" w:space="0" w:color="auto"/>
        <w:bottom w:val="none" w:sz="0" w:space="0" w:color="auto"/>
        <w:right w:val="none" w:sz="0" w:space="0" w:color="auto"/>
      </w:divBdr>
    </w:div>
    <w:div w:id="1710181164">
      <w:bodyDiv w:val="1"/>
      <w:marLeft w:val="0"/>
      <w:marRight w:val="0"/>
      <w:marTop w:val="0"/>
      <w:marBottom w:val="0"/>
      <w:divBdr>
        <w:top w:val="none" w:sz="0" w:space="0" w:color="auto"/>
        <w:left w:val="none" w:sz="0" w:space="0" w:color="auto"/>
        <w:bottom w:val="none" w:sz="0" w:space="0" w:color="auto"/>
        <w:right w:val="none" w:sz="0" w:space="0" w:color="auto"/>
      </w:divBdr>
    </w:div>
    <w:div w:id="1785343232">
      <w:bodyDiv w:val="1"/>
      <w:marLeft w:val="0"/>
      <w:marRight w:val="0"/>
      <w:marTop w:val="0"/>
      <w:marBottom w:val="0"/>
      <w:divBdr>
        <w:top w:val="none" w:sz="0" w:space="0" w:color="auto"/>
        <w:left w:val="none" w:sz="0" w:space="0" w:color="auto"/>
        <w:bottom w:val="none" w:sz="0" w:space="0" w:color="auto"/>
        <w:right w:val="none" w:sz="0" w:space="0" w:color="auto"/>
      </w:divBdr>
    </w:div>
    <w:div w:id="1787308457">
      <w:bodyDiv w:val="1"/>
      <w:marLeft w:val="0"/>
      <w:marRight w:val="0"/>
      <w:marTop w:val="0"/>
      <w:marBottom w:val="0"/>
      <w:divBdr>
        <w:top w:val="none" w:sz="0" w:space="0" w:color="auto"/>
        <w:left w:val="none" w:sz="0" w:space="0" w:color="auto"/>
        <w:bottom w:val="none" w:sz="0" w:space="0" w:color="auto"/>
        <w:right w:val="none" w:sz="0" w:space="0" w:color="auto"/>
      </w:divBdr>
    </w:div>
    <w:div w:id="1823958193">
      <w:bodyDiv w:val="1"/>
      <w:marLeft w:val="0"/>
      <w:marRight w:val="0"/>
      <w:marTop w:val="0"/>
      <w:marBottom w:val="0"/>
      <w:divBdr>
        <w:top w:val="none" w:sz="0" w:space="0" w:color="auto"/>
        <w:left w:val="none" w:sz="0" w:space="0" w:color="auto"/>
        <w:bottom w:val="none" w:sz="0" w:space="0" w:color="auto"/>
        <w:right w:val="none" w:sz="0" w:space="0" w:color="auto"/>
      </w:divBdr>
    </w:div>
    <w:div w:id="1853756599">
      <w:bodyDiv w:val="1"/>
      <w:marLeft w:val="0"/>
      <w:marRight w:val="0"/>
      <w:marTop w:val="0"/>
      <w:marBottom w:val="0"/>
      <w:divBdr>
        <w:top w:val="none" w:sz="0" w:space="0" w:color="auto"/>
        <w:left w:val="none" w:sz="0" w:space="0" w:color="auto"/>
        <w:bottom w:val="none" w:sz="0" w:space="0" w:color="auto"/>
        <w:right w:val="none" w:sz="0" w:space="0" w:color="auto"/>
      </w:divBdr>
    </w:div>
    <w:div w:id="1877504486">
      <w:bodyDiv w:val="1"/>
      <w:marLeft w:val="0"/>
      <w:marRight w:val="0"/>
      <w:marTop w:val="0"/>
      <w:marBottom w:val="0"/>
      <w:divBdr>
        <w:top w:val="none" w:sz="0" w:space="0" w:color="auto"/>
        <w:left w:val="none" w:sz="0" w:space="0" w:color="auto"/>
        <w:bottom w:val="none" w:sz="0" w:space="0" w:color="auto"/>
        <w:right w:val="none" w:sz="0" w:space="0" w:color="auto"/>
      </w:divBdr>
    </w:div>
    <w:div w:id="2020037679">
      <w:bodyDiv w:val="1"/>
      <w:marLeft w:val="0"/>
      <w:marRight w:val="0"/>
      <w:marTop w:val="0"/>
      <w:marBottom w:val="0"/>
      <w:divBdr>
        <w:top w:val="none" w:sz="0" w:space="0" w:color="auto"/>
        <w:left w:val="none" w:sz="0" w:space="0" w:color="auto"/>
        <w:bottom w:val="none" w:sz="0" w:space="0" w:color="auto"/>
        <w:right w:val="none" w:sz="0" w:space="0" w:color="auto"/>
      </w:divBdr>
    </w:div>
    <w:div w:id="2023974393">
      <w:bodyDiv w:val="1"/>
      <w:marLeft w:val="0"/>
      <w:marRight w:val="0"/>
      <w:marTop w:val="0"/>
      <w:marBottom w:val="0"/>
      <w:divBdr>
        <w:top w:val="none" w:sz="0" w:space="0" w:color="auto"/>
        <w:left w:val="none" w:sz="0" w:space="0" w:color="auto"/>
        <w:bottom w:val="none" w:sz="0" w:space="0" w:color="auto"/>
        <w:right w:val="none" w:sz="0" w:space="0" w:color="auto"/>
      </w:divBdr>
    </w:div>
    <w:div w:id="205437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838F6-B730-4481-8DCE-720575C7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7330</Words>
  <Characters>41781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Емил Нургалиев</dc:creator>
  <cp:lastModifiedBy>MARIYA ALENTINOVA HRISTOVA</cp:lastModifiedBy>
  <cp:revision>20</cp:revision>
  <cp:lastPrinted>2019-02-26T07:40:00Z</cp:lastPrinted>
  <dcterms:created xsi:type="dcterms:W3CDTF">2022-01-31T11:42:00Z</dcterms:created>
  <dcterms:modified xsi:type="dcterms:W3CDTF">2022-02-01T08:11:00Z</dcterms:modified>
</cp:coreProperties>
</file>