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11" w:rsidRPr="00230093" w:rsidRDefault="00486511" w:rsidP="00A10F5E">
      <w:pPr>
        <w:spacing w:after="0" w:line="240" w:lineRule="auto"/>
        <w:ind w:firstLine="708"/>
        <w:jc w:val="right"/>
        <w:rPr>
          <w:rFonts w:ascii="Times New Roman" w:hAnsi="Times New Roman" w:cs="Times New Roman"/>
          <w:b/>
        </w:rPr>
      </w:pPr>
      <w:r w:rsidRPr="00230093">
        <w:rPr>
          <w:rFonts w:ascii="Times New Roman" w:hAnsi="Times New Roman" w:cs="Times New Roman"/>
          <w:b/>
        </w:rPr>
        <w:t>Приложение № 3а</w:t>
      </w:r>
    </w:p>
    <w:p w:rsidR="00230093" w:rsidRPr="00B00A03" w:rsidRDefault="00230093" w:rsidP="00A10F5E">
      <w:pPr>
        <w:spacing w:after="0" w:line="240" w:lineRule="auto"/>
        <w:jc w:val="center"/>
        <w:rPr>
          <w:rFonts w:ascii="Times New Roman" w:hAnsi="Times New Roman" w:cs="Times New Roman"/>
          <w:b/>
          <w:sz w:val="32"/>
          <w:szCs w:val="32"/>
          <w:lang w:eastAsia="bg-BG"/>
        </w:rPr>
      </w:pPr>
      <w:r w:rsidRPr="00B00A03">
        <w:rPr>
          <w:rFonts w:ascii="Times New Roman" w:hAnsi="Times New Roman" w:cs="Times New Roman"/>
          <w:b/>
          <w:sz w:val="32"/>
          <w:szCs w:val="32"/>
          <w:lang w:eastAsia="bg-BG"/>
        </w:rPr>
        <w:t xml:space="preserve">Ключови индикатори за изпълнение на политиките и целеви стойности </w:t>
      </w:r>
      <w:r w:rsidR="004D60F5" w:rsidRPr="00B00A03">
        <w:rPr>
          <w:rFonts w:ascii="Times New Roman" w:hAnsi="Times New Roman" w:cs="Times New Roman"/>
          <w:b/>
          <w:sz w:val="32"/>
          <w:szCs w:val="32"/>
          <w:lang w:eastAsia="bg-BG"/>
        </w:rPr>
        <w:t>за периода 20</w:t>
      </w:r>
      <w:r w:rsidR="002F026B">
        <w:rPr>
          <w:rFonts w:ascii="Times New Roman" w:hAnsi="Times New Roman" w:cs="Times New Roman"/>
          <w:b/>
          <w:sz w:val="32"/>
          <w:szCs w:val="32"/>
          <w:lang w:eastAsia="bg-BG"/>
        </w:rPr>
        <w:t>2</w:t>
      </w:r>
      <w:r w:rsidR="00F42F0B">
        <w:rPr>
          <w:rFonts w:ascii="Times New Roman" w:hAnsi="Times New Roman" w:cs="Times New Roman"/>
          <w:b/>
          <w:sz w:val="32"/>
          <w:szCs w:val="32"/>
          <w:lang w:val="en-US" w:eastAsia="bg-BG"/>
        </w:rPr>
        <w:t>2</w:t>
      </w:r>
      <w:r w:rsidR="004D60F5" w:rsidRPr="00B00A03">
        <w:rPr>
          <w:rFonts w:ascii="Times New Roman" w:hAnsi="Times New Roman" w:cs="Times New Roman"/>
          <w:b/>
          <w:sz w:val="32"/>
          <w:szCs w:val="32"/>
          <w:lang w:eastAsia="bg-BG"/>
        </w:rPr>
        <w:t>-202</w:t>
      </w:r>
      <w:r w:rsidR="00F42F0B">
        <w:rPr>
          <w:rFonts w:ascii="Times New Roman" w:hAnsi="Times New Roman" w:cs="Times New Roman"/>
          <w:b/>
          <w:sz w:val="32"/>
          <w:szCs w:val="32"/>
          <w:lang w:val="en-US" w:eastAsia="bg-BG"/>
        </w:rPr>
        <w:t>4</w:t>
      </w:r>
      <w:r w:rsidRPr="00B00A03">
        <w:rPr>
          <w:rFonts w:ascii="Times New Roman" w:hAnsi="Times New Roman" w:cs="Times New Roman"/>
          <w:b/>
          <w:sz w:val="32"/>
          <w:szCs w:val="32"/>
          <w:lang w:eastAsia="bg-BG"/>
        </w:rPr>
        <w:t xml:space="preserve"> г. </w:t>
      </w:r>
    </w:p>
    <w:p w:rsidR="00230093" w:rsidRPr="00B00A03" w:rsidRDefault="00230093" w:rsidP="00A10F5E">
      <w:pPr>
        <w:pStyle w:val="Heading1"/>
        <w:ind w:firstLine="0"/>
        <w:jc w:val="center"/>
        <w:rPr>
          <w:caps w:val="0"/>
          <w:sz w:val="32"/>
          <w:szCs w:val="32"/>
        </w:rPr>
      </w:pPr>
      <w:r w:rsidRPr="00B00A03">
        <w:rPr>
          <w:caps w:val="0"/>
          <w:sz w:val="32"/>
          <w:szCs w:val="32"/>
        </w:rPr>
        <w:t xml:space="preserve">на </w:t>
      </w:r>
      <w:r w:rsidR="00032557" w:rsidRPr="00B00A03">
        <w:rPr>
          <w:caps w:val="0"/>
          <w:sz w:val="32"/>
          <w:szCs w:val="32"/>
        </w:rPr>
        <w:t>Министерство на регионалното развитие и благоустройството</w:t>
      </w:r>
    </w:p>
    <w:p w:rsidR="00230093" w:rsidRPr="00410F7A" w:rsidRDefault="00230093" w:rsidP="00A10F5E">
      <w:pPr>
        <w:spacing w:after="0" w:line="240" w:lineRule="auto"/>
        <w:ind w:firstLine="708"/>
        <w:jc w:val="both"/>
        <w:rPr>
          <w:rFonts w:ascii="Times New Roman" w:hAnsi="Times New Roman" w:cs="Times New Roman"/>
        </w:rPr>
      </w:pPr>
    </w:p>
    <w:p w:rsidR="006B2804" w:rsidRDefault="006B2804" w:rsidP="00A10F5E">
      <w:pPr>
        <w:keepNext/>
        <w:snapToGrid w:val="0"/>
        <w:spacing w:after="0" w:line="240" w:lineRule="auto"/>
        <w:ind w:firstLine="567"/>
        <w:jc w:val="both"/>
        <w:outlineLvl w:val="0"/>
        <w:rPr>
          <w:rFonts w:ascii="Times New Roman" w:hAnsi="Times New Roman" w:cs="Times New Roman"/>
          <w:b/>
          <w:i/>
          <w:color w:val="0000CC"/>
        </w:rPr>
      </w:pPr>
      <w:r w:rsidRPr="0025354B">
        <w:rPr>
          <w:rFonts w:ascii="Times New Roman" w:eastAsia="Batang" w:hAnsi="Times New Roman" w:cs="Times New Roman"/>
          <w:b/>
          <w:i/>
          <w:color w:val="0000CC"/>
          <w:lang w:val="ru-RU" w:eastAsia="ko-KR"/>
        </w:rPr>
        <w:t xml:space="preserve">2100.01.00  </w:t>
      </w:r>
      <w:r w:rsidR="00740960" w:rsidRPr="0025354B">
        <w:rPr>
          <w:rFonts w:ascii="Times New Roman" w:eastAsia="Batang" w:hAnsi="Times New Roman" w:cs="Times New Roman"/>
          <w:b/>
          <w:i/>
          <w:color w:val="0000CC"/>
          <w:lang w:eastAsia="ko-KR"/>
        </w:rPr>
        <w:t>„</w:t>
      </w:r>
      <w:r w:rsidRPr="0025354B">
        <w:rPr>
          <w:rFonts w:ascii="Times New Roman" w:eastAsia="Batang" w:hAnsi="Times New Roman" w:cs="Times New Roman"/>
          <w:b/>
          <w:i/>
          <w:color w:val="0000CC"/>
          <w:lang w:val="ru-RU" w:eastAsia="ko-KR"/>
        </w:rPr>
        <w:t>ПОЛИТИКА ЗА ИНТЕГРИРАНО РАЗВИТИЕ НА РЕГИОНИТЕ</w:t>
      </w:r>
      <w:r w:rsidR="00E45996">
        <w:rPr>
          <w:rFonts w:ascii="Times New Roman" w:eastAsia="Batang" w:hAnsi="Times New Roman" w:cs="Times New Roman"/>
          <w:b/>
          <w:i/>
          <w:color w:val="0000CC"/>
          <w:lang w:val="ru-RU" w:eastAsia="ko-KR"/>
        </w:rPr>
        <w:t xml:space="preserve"> ЗА ПОСТИГАНЕ НА РАСТЕЖ И </w:t>
      </w:r>
      <w:r w:rsidRPr="0025354B">
        <w:rPr>
          <w:rFonts w:ascii="Times New Roman" w:eastAsia="Batang" w:hAnsi="Times New Roman" w:cs="Times New Roman"/>
          <w:b/>
          <w:i/>
          <w:color w:val="0000CC"/>
          <w:lang w:val="ru-RU" w:eastAsia="ko-KR"/>
        </w:rPr>
        <w:t>ПОДОБРЯВАНЕ КАЧЕСТВОТО НА ЖИЗНЕНАТА СРЕДА</w:t>
      </w:r>
      <w:r w:rsidR="00740960" w:rsidRPr="0025354B">
        <w:rPr>
          <w:rFonts w:ascii="Times New Roman" w:hAnsi="Times New Roman" w:cs="Times New Roman"/>
          <w:b/>
          <w:i/>
          <w:color w:val="0000CC"/>
        </w:rPr>
        <w:t>“</w:t>
      </w:r>
    </w:p>
    <w:p w:rsidR="00B57C85" w:rsidRPr="0025354B" w:rsidRDefault="00B57C85" w:rsidP="00A10F5E">
      <w:pPr>
        <w:keepNext/>
        <w:snapToGrid w:val="0"/>
        <w:spacing w:after="0" w:line="240" w:lineRule="auto"/>
        <w:ind w:firstLine="567"/>
        <w:jc w:val="both"/>
        <w:outlineLvl w:val="0"/>
        <w:rPr>
          <w:rFonts w:ascii="Times New Roman" w:eastAsia="Batang" w:hAnsi="Times New Roman" w:cs="Times New Roman"/>
          <w:b/>
          <w:i/>
          <w:color w:val="0000CC"/>
          <w:lang w:val="en-US" w:eastAsia="ko-KR"/>
        </w:rPr>
      </w:pPr>
    </w:p>
    <w:p w:rsidR="006B2804" w:rsidRPr="0025354B" w:rsidRDefault="00091C5B" w:rsidP="00A10F5E">
      <w:pPr>
        <w:pStyle w:val="ListParagraph"/>
        <w:numPr>
          <w:ilvl w:val="0"/>
          <w:numId w:val="1"/>
        </w:numPr>
        <w:spacing w:after="0" w:line="240" w:lineRule="auto"/>
        <w:ind w:left="0" w:firstLine="567"/>
        <w:jc w:val="both"/>
        <w:rPr>
          <w:rFonts w:ascii="Times New Roman" w:hAnsi="Times New Roman" w:cs="Times New Roman"/>
          <w:b/>
          <w:i/>
          <w:color w:val="0000CC"/>
        </w:rPr>
      </w:pPr>
      <w:r w:rsidRPr="0025354B">
        <w:rPr>
          <w:rFonts w:ascii="Times New Roman" w:hAnsi="Times New Roman" w:cs="Times New Roman"/>
          <w:b/>
          <w:i/>
          <w:color w:val="0000CC"/>
        </w:rPr>
        <w:t>Кратко описание на обхвата на област</w:t>
      </w:r>
      <w:r w:rsidR="00766A55" w:rsidRPr="0025354B">
        <w:rPr>
          <w:rFonts w:ascii="Times New Roman" w:hAnsi="Times New Roman" w:cs="Times New Roman"/>
          <w:b/>
          <w:i/>
          <w:color w:val="0000CC"/>
        </w:rPr>
        <w:t>та на политиката</w:t>
      </w:r>
      <w:r w:rsidRPr="0025354B">
        <w:rPr>
          <w:rFonts w:ascii="Times New Roman" w:hAnsi="Times New Roman" w:cs="Times New Roman"/>
          <w:b/>
          <w:i/>
          <w:color w:val="0000CC"/>
        </w:rPr>
        <w:t>, за ко</w:t>
      </w:r>
      <w:r w:rsidR="00766A55" w:rsidRPr="0025354B">
        <w:rPr>
          <w:rFonts w:ascii="Times New Roman" w:hAnsi="Times New Roman" w:cs="Times New Roman"/>
          <w:b/>
          <w:i/>
          <w:color w:val="0000CC"/>
        </w:rPr>
        <w:t>ято</w:t>
      </w:r>
      <w:r w:rsidRPr="0025354B">
        <w:rPr>
          <w:rFonts w:ascii="Times New Roman" w:hAnsi="Times New Roman" w:cs="Times New Roman"/>
          <w:b/>
          <w:i/>
          <w:color w:val="0000CC"/>
        </w:rPr>
        <w:t xml:space="preserve"> ПРБ отговаря</w:t>
      </w:r>
    </w:p>
    <w:p w:rsidR="005B4591" w:rsidRPr="00983AD9" w:rsidRDefault="005B4591" w:rsidP="00A10F5E">
      <w:pPr>
        <w:tabs>
          <w:tab w:val="left" w:pos="851"/>
        </w:tabs>
        <w:spacing w:after="0" w:line="240" w:lineRule="auto"/>
        <w:ind w:firstLine="567"/>
        <w:jc w:val="both"/>
        <w:rPr>
          <w:rFonts w:ascii="Calibri" w:eastAsia="Calibri" w:hAnsi="Calibri" w:cs="Times New Roman"/>
        </w:rPr>
      </w:pPr>
      <w:r w:rsidRPr="0025354B">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w:t>
      </w:r>
      <w:r w:rsidRPr="0025354B">
        <w:rPr>
          <w:rFonts w:ascii="Times New Roman" w:eastAsia="Calibri" w:hAnsi="Times New Roman" w:cs="Times New Roman"/>
        </w:rPr>
        <w:t xml:space="preserve">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r w:rsidRPr="0025354B">
        <w:rPr>
          <w:rFonts w:ascii="Times New Roman" w:eastAsia="Times New Roman" w:hAnsi="Times New Roman" w:cs="Times New Roman"/>
          <w:lang w:eastAsia="bg-BG"/>
        </w:rPr>
        <w:t xml:space="preserve">  Ключовите индикатори за изпълнение на политиката са в съответствие с целите на </w:t>
      </w:r>
      <w:r w:rsidR="00983AD9">
        <w:rPr>
          <w:rFonts w:ascii="Times New Roman" w:eastAsia="Times New Roman" w:hAnsi="Times New Roman" w:cs="Times New Roman"/>
          <w:lang w:eastAsia="bg-BG"/>
        </w:rPr>
        <w:t>правителството.</w:t>
      </w:r>
    </w:p>
    <w:p w:rsidR="005B4591" w:rsidRPr="0025354B" w:rsidRDefault="005B4591" w:rsidP="00A10F5E">
      <w:pPr>
        <w:tabs>
          <w:tab w:val="left" w:pos="851"/>
        </w:tabs>
        <w:spacing w:after="0" w:line="240" w:lineRule="auto"/>
        <w:ind w:firstLine="567"/>
        <w:jc w:val="both"/>
        <w:rPr>
          <w:rFonts w:ascii="Times New Roman" w:eastAsia="Calibri" w:hAnsi="Times New Roman" w:cs="Times New Roman"/>
        </w:rPr>
      </w:pPr>
      <w:r w:rsidRPr="0025354B">
        <w:rPr>
          <w:rFonts w:ascii="Times New Roman" w:eastAsia="Calibri" w:hAnsi="Times New Roman" w:cs="Times New Roman"/>
        </w:rPr>
        <w:t>Желаният резултат ще се постигне чрез интегрирани действия в различни области на развитие, насочени в един фокус – сближаване.</w:t>
      </w:r>
    </w:p>
    <w:p w:rsidR="005B4591" w:rsidRPr="0025354B" w:rsidRDefault="005B4591" w:rsidP="00A10F5E">
      <w:pPr>
        <w:tabs>
          <w:tab w:val="left" w:pos="851"/>
        </w:tabs>
        <w:spacing w:after="0" w:line="240" w:lineRule="auto"/>
        <w:ind w:firstLine="567"/>
        <w:jc w:val="both"/>
        <w:rPr>
          <w:rFonts w:ascii="Times New Roman" w:eastAsia="Calibri" w:hAnsi="Times New Roman" w:cs="Times New Roman"/>
        </w:rPr>
      </w:pPr>
      <w:r w:rsidRPr="0025354B">
        <w:rPr>
          <w:rFonts w:ascii="Times New Roman" w:eastAsia="Calibri" w:hAnsi="Times New Roman" w:cs="Times New Roman"/>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C4D1B" w:rsidRPr="0025354B" w:rsidRDefault="005B4591" w:rsidP="00A10F5E">
      <w:pPr>
        <w:tabs>
          <w:tab w:val="left" w:pos="851"/>
        </w:tabs>
        <w:spacing w:after="0" w:line="240" w:lineRule="auto"/>
        <w:ind w:firstLine="567"/>
        <w:jc w:val="both"/>
        <w:rPr>
          <w:rFonts w:ascii="Times New Roman" w:eastAsia="Calibri" w:hAnsi="Times New Roman" w:cs="Times New Roman"/>
        </w:rPr>
      </w:pPr>
      <w:r w:rsidRPr="0025354B">
        <w:rPr>
          <w:rFonts w:ascii="Times New Roman" w:eastAsia="Times New Roman" w:hAnsi="Times New Roman" w:cs="Times New Roman"/>
          <w:lang w:eastAsia="bg-BG"/>
        </w:rPr>
        <w:t>Визията за развитието на политиката е тясно обвързана с мерките, определени в Приоритет 5 „Балансирано регионално развитие“ от програмата за управление на Правителството на Република България за периода 2017-2021,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w:t>
      </w:r>
      <w:r w:rsidRPr="0025354B">
        <w:rPr>
          <w:rFonts w:ascii="Times New Roman" w:eastAsia="Calibri" w:hAnsi="Times New Roman" w:cs="Times New Roman"/>
        </w:rPr>
        <w:t xml:space="preserve"> </w:t>
      </w:r>
    </w:p>
    <w:p w:rsidR="00A5027A" w:rsidRDefault="005B4591" w:rsidP="00A10F5E">
      <w:pPr>
        <w:tabs>
          <w:tab w:val="left" w:pos="851"/>
        </w:tabs>
        <w:spacing w:after="0" w:line="240" w:lineRule="auto"/>
        <w:ind w:firstLine="567"/>
        <w:jc w:val="both"/>
        <w:rPr>
          <w:rFonts w:ascii="Times New Roman" w:eastAsia="Calibri" w:hAnsi="Times New Roman" w:cs="Times New Roman"/>
        </w:rPr>
      </w:pPr>
      <w:r w:rsidRPr="0025354B">
        <w:rPr>
          <w:rFonts w:ascii="Times New Roman" w:eastAsia="Times New Roman" w:hAnsi="Times New Roman" w:cs="Times New Roman"/>
          <w:i/>
          <w:lang w:eastAsia="bg-BG"/>
        </w:rPr>
        <w:t>Главна дирекция „Стратегическо планиране и програми за регионално развитие“</w:t>
      </w:r>
      <w:r w:rsidRPr="0025354B">
        <w:rPr>
          <w:rFonts w:ascii="Times New Roman" w:eastAsia="Times New Roman" w:hAnsi="Times New Roman" w:cs="Times New Roman"/>
          <w:lang w:eastAsia="bg-BG"/>
        </w:rPr>
        <w:t xml:space="preserve"> </w:t>
      </w:r>
    </w:p>
    <w:p w:rsidR="00F265BF" w:rsidRPr="00F265BF" w:rsidRDefault="00F265BF" w:rsidP="00A10F5E">
      <w:pPr>
        <w:tabs>
          <w:tab w:val="left" w:pos="851"/>
        </w:tabs>
        <w:spacing w:after="0" w:line="240" w:lineRule="auto"/>
        <w:ind w:firstLine="567"/>
        <w:jc w:val="both"/>
        <w:rPr>
          <w:rFonts w:ascii="Times New Roman" w:eastAsia="Calibri" w:hAnsi="Times New Roman" w:cs="Times New Roman"/>
        </w:rPr>
      </w:pPr>
      <w:r w:rsidRPr="00F265BF">
        <w:rPr>
          <w:rFonts w:ascii="Times New Roman" w:eastAsia="Calibri" w:hAnsi="Times New Roman" w:cs="Times New Roman"/>
        </w:rPr>
        <w:t>Главна дирекция „Стратегическо планиране и програми за регионално развитие“</w:t>
      </w:r>
      <w:r w:rsidR="00AC76A7">
        <w:rPr>
          <w:rFonts w:ascii="Times New Roman" w:eastAsia="Calibri" w:hAnsi="Times New Roman" w:cs="Times New Roman"/>
        </w:rPr>
        <w:t xml:space="preserve"> </w:t>
      </w:r>
      <w:r w:rsidR="00AC76A7">
        <w:rPr>
          <w:rFonts w:ascii="Times New Roman" w:eastAsia="Calibri" w:hAnsi="Times New Roman" w:cs="Times New Roman"/>
          <w:lang w:val="en-US"/>
        </w:rPr>
        <w:t>(</w:t>
      </w:r>
      <w:r w:rsidR="00AC76A7">
        <w:rPr>
          <w:rFonts w:ascii="Times New Roman" w:eastAsia="Calibri" w:hAnsi="Times New Roman" w:cs="Times New Roman"/>
        </w:rPr>
        <w:t>ГД СППРР</w:t>
      </w:r>
      <w:r w:rsidR="00AC76A7">
        <w:rPr>
          <w:rFonts w:ascii="Times New Roman" w:eastAsia="Calibri" w:hAnsi="Times New Roman" w:cs="Times New Roman"/>
          <w:lang w:val="en-US"/>
        </w:rPr>
        <w:t>)</w:t>
      </w:r>
      <w:r w:rsidRPr="00F265BF">
        <w:rPr>
          <w:rFonts w:ascii="Times New Roman" w:eastAsia="Calibri" w:hAnsi="Times New Roman" w:cs="Times New Roman"/>
        </w:rPr>
        <w:t xml:space="preserve">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w:t>
      </w:r>
      <w:r w:rsidRPr="00F265BF">
        <w:rPr>
          <w:rFonts w:ascii="Times New Roman" w:eastAsia="Calibri" w:hAnsi="Times New Roman" w:cs="Times New Roman"/>
          <w:lang w:val="en-US"/>
        </w:rPr>
        <w:t>,</w:t>
      </w:r>
      <w:r w:rsidRPr="00F265BF">
        <w:rPr>
          <w:rFonts w:ascii="Times New Roman" w:eastAsia="Calibri" w:hAnsi="Times New Roman" w:cs="Times New Roman"/>
        </w:rPr>
        <w:t xml:space="preserve">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r w:rsidRPr="00F265BF">
        <w:rPr>
          <w:rFonts w:ascii="Times New Roman" w:eastAsia="Calibri" w:hAnsi="Times New Roman" w:cs="Times New Roman"/>
          <w:lang w:val="en-US"/>
        </w:rPr>
        <w:t xml:space="preserve"> </w:t>
      </w:r>
      <w:r w:rsidRPr="00F265BF">
        <w:rPr>
          <w:rFonts w:ascii="Times New Roman" w:eastAsia="Calibri" w:hAnsi="Times New Roman" w:cs="Times New Roman"/>
        </w:rPr>
        <w:t xml:space="preserve">Развитието на политиката обхваща и: </w:t>
      </w:r>
    </w:p>
    <w:p w:rsidR="00F265BF" w:rsidRPr="00F265BF" w:rsidRDefault="00F265BF" w:rsidP="00A10F5E">
      <w:pPr>
        <w:numPr>
          <w:ilvl w:val="0"/>
          <w:numId w:val="13"/>
        </w:numPr>
        <w:tabs>
          <w:tab w:val="left" w:pos="851"/>
        </w:tabs>
        <w:spacing w:after="0" w:line="240" w:lineRule="auto"/>
        <w:ind w:left="0" w:firstLine="567"/>
        <w:jc w:val="both"/>
        <w:rPr>
          <w:rFonts w:ascii="Times New Roman" w:eastAsia="Calibri" w:hAnsi="Times New Roman" w:cs="Times New Roman"/>
          <w:lang w:val="en-US"/>
        </w:rPr>
      </w:pPr>
      <w:r w:rsidRPr="00F265BF">
        <w:rPr>
          <w:rFonts w:ascii="Times New Roman" w:eastAsia="Calibri" w:hAnsi="Times New Roman" w:cs="Times New Roman"/>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w:t>
      </w:r>
    </w:p>
    <w:p w:rsidR="00F265BF" w:rsidRPr="00F265BF" w:rsidRDefault="00F265BF" w:rsidP="00A10F5E">
      <w:pPr>
        <w:numPr>
          <w:ilvl w:val="0"/>
          <w:numId w:val="13"/>
        </w:numPr>
        <w:tabs>
          <w:tab w:val="left" w:pos="851"/>
        </w:tabs>
        <w:spacing w:after="0" w:line="240" w:lineRule="auto"/>
        <w:ind w:left="0" w:firstLine="567"/>
        <w:jc w:val="both"/>
        <w:rPr>
          <w:rFonts w:ascii="Times New Roman" w:eastAsia="Calibri" w:hAnsi="Times New Roman" w:cs="Times New Roman"/>
        </w:rPr>
      </w:pPr>
      <w:r w:rsidRPr="00F265BF">
        <w:rPr>
          <w:rFonts w:ascii="Times New Roman" w:eastAsia="Calibri" w:hAnsi="Times New Roman" w:cs="Times New Roman"/>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rsidR="00F265BF" w:rsidRPr="00F265BF" w:rsidRDefault="00F265BF" w:rsidP="00A10F5E">
      <w:pPr>
        <w:numPr>
          <w:ilvl w:val="0"/>
          <w:numId w:val="13"/>
        </w:numPr>
        <w:tabs>
          <w:tab w:val="left" w:pos="851"/>
        </w:tabs>
        <w:spacing w:after="0" w:line="240" w:lineRule="auto"/>
        <w:ind w:left="0" w:firstLine="567"/>
        <w:jc w:val="both"/>
        <w:rPr>
          <w:rFonts w:ascii="Times New Roman" w:eastAsia="Calibri" w:hAnsi="Times New Roman" w:cs="Times New Roman"/>
        </w:rPr>
      </w:pPr>
      <w:r w:rsidRPr="00F265BF">
        <w:rPr>
          <w:rFonts w:ascii="Times New Roman" w:eastAsia="Calibri" w:hAnsi="Times New Roman" w:cs="Times New Roman"/>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rsidR="00AD3BB2" w:rsidRPr="00A5027A" w:rsidRDefault="00AD3BB2" w:rsidP="00A10F5E">
      <w:pPr>
        <w:pStyle w:val="ListParagraph"/>
        <w:tabs>
          <w:tab w:val="left" w:pos="851"/>
        </w:tabs>
        <w:spacing w:after="0" w:line="240" w:lineRule="auto"/>
        <w:ind w:left="0" w:firstLine="567"/>
        <w:jc w:val="both"/>
        <w:rPr>
          <w:rFonts w:ascii="Times New Roman" w:eastAsia="Times New Roman" w:hAnsi="Times New Roman" w:cs="Times New Roman"/>
          <w:lang w:eastAsia="bg-BG"/>
        </w:rPr>
      </w:pPr>
      <w:r w:rsidRPr="00A5027A">
        <w:rPr>
          <w:rFonts w:ascii="Times New Roman" w:eastAsia="Times New Roman" w:hAnsi="Times New Roman" w:cs="Times New Roman"/>
          <w:i/>
          <w:lang w:eastAsia="bg-BG"/>
        </w:rPr>
        <w:t>Дирекция „У</w:t>
      </w:r>
      <w:r w:rsidR="008C4D1B" w:rsidRPr="00A5027A">
        <w:rPr>
          <w:rFonts w:ascii="Times New Roman" w:eastAsia="Times New Roman" w:hAnsi="Times New Roman" w:cs="Times New Roman"/>
          <w:i/>
          <w:lang w:eastAsia="bg-BG"/>
        </w:rPr>
        <w:t>правление на териториалното сътрудничество</w:t>
      </w:r>
      <w:r w:rsidRPr="00A5027A">
        <w:rPr>
          <w:rFonts w:ascii="Times New Roman" w:eastAsia="Times New Roman" w:hAnsi="Times New Roman" w:cs="Times New Roman"/>
          <w:i/>
          <w:lang w:eastAsia="bg-BG"/>
        </w:rPr>
        <w:t>“</w:t>
      </w:r>
      <w:r w:rsidR="008C4D1B" w:rsidRPr="00A5027A">
        <w:rPr>
          <w:rFonts w:ascii="Times New Roman" w:eastAsia="Times New Roman" w:hAnsi="Times New Roman" w:cs="Times New Roman"/>
          <w:lang w:eastAsia="bg-BG"/>
        </w:rPr>
        <w:t xml:space="preserve"> участва в изпълнението на целите на политиката чрез гарантиране на:</w:t>
      </w:r>
    </w:p>
    <w:p w:rsidR="00AD3BB2" w:rsidRPr="0025354B" w:rsidRDefault="00AD3BB2" w:rsidP="00A10F5E">
      <w:pPr>
        <w:numPr>
          <w:ilvl w:val="0"/>
          <w:numId w:val="13"/>
        </w:numPr>
        <w:tabs>
          <w:tab w:val="left" w:pos="567"/>
        </w:tabs>
        <w:spacing w:after="0" w:line="240" w:lineRule="auto"/>
        <w:ind w:left="0" w:firstLine="567"/>
        <w:jc w:val="both"/>
        <w:rPr>
          <w:rFonts w:ascii="Times New Roman" w:hAnsi="Times New Roman" w:cs="Times New Roman"/>
        </w:rPr>
      </w:pPr>
      <w:r w:rsidRPr="0025354B">
        <w:rPr>
          <w:rFonts w:ascii="Times New Roman" w:hAnsi="Times New Roman" w:cs="Times New Roman"/>
        </w:rPr>
        <w:t>Устойчиво развитие на трансграничните региони в подкрепа на усилията за разширено европейско сътрудничество и интеграция;</w:t>
      </w:r>
    </w:p>
    <w:p w:rsidR="00AD3BB2" w:rsidRPr="0025354B" w:rsidRDefault="008C4D1B" w:rsidP="00A10F5E">
      <w:pPr>
        <w:numPr>
          <w:ilvl w:val="0"/>
          <w:numId w:val="13"/>
        </w:numPr>
        <w:tabs>
          <w:tab w:val="left" w:pos="426"/>
          <w:tab w:val="left" w:pos="567"/>
        </w:tabs>
        <w:spacing w:after="0" w:line="240" w:lineRule="auto"/>
        <w:ind w:left="0" w:firstLine="567"/>
        <w:jc w:val="both"/>
        <w:rPr>
          <w:rFonts w:ascii="Times New Roman" w:hAnsi="Times New Roman" w:cs="Times New Roman"/>
        </w:rPr>
      </w:pPr>
      <w:r w:rsidRPr="0025354B">
        <w:rPr>
          <w:rFonts w:ascii="Times New Roman" w:hAnsi="Times New Roman" w:cs="Times New Roman"/>
          <w:lang w:val="en-US"/>
        </w:rPr>
        <w:t xml:space="preserve"> </w:t>
      </w:r>
      <w:r w:rsidR="00AD3BB2" w:rsidRPr="0025354B">
        <w:rPr>
          <w:rFonts w:ascii="Times New Roman" w:hAnsi="Times New Roman" w:cs="Times New Roman"/>
        </w:rPr>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rsidR="00AD3BB2" w:rsidRPr="0025354B" w:rsidRDefault="008C4D1B" w:rsidP="00A10F5E">
      <w:pPr>
        <w:numPr>
          <w:ilvl w:val="0"/>
          <w:numId w:val="13"/>
        </w:numPr>
        <w:tabs>
          <w:tab w:val="left" w:pos="567"/>
        </w:tabs>
        <w:spacing w:after="0" w:line="240" w:lineRule="auto"/>
        <w:ind w:left="0" w:firstLine="567"/>
        <w:jc w:val="both"/>
        <w:rPr>
          <w:rFonts w:ascii="Times New Roman" w:hAnsi="Times New Roman" w:cs="Times New Roman"/>
        </w:rPr>
      </w:pPr>
      <w:r w:rsidRPr="0025354B">
        <w:rPr>
          <w:rFonts w:ascii="Times New Roman" w:hAnsi="Times New Roman" w:cs="Times New Roman"/>
          <w:lang w:val="en-US"/>
        </w:rPr>
        <w:t xml:space="preserve"> </w:t>
      </w:r>
      <w:r w:rsidR="00AD3BB2" w:rsidRPr="0025354B">
        <w:rPr>
          <w:rFonts w:ascii="Times New Roman" w:hAnsi="Times New Roman" w:cs="Times New Roman"/>
        </w:rPr>
        <w:t>Укрепване на капацитета на структурите по програмите за европейско териториално сътрудничество, в които Република България участва.</w:t>
      </w:r>
    </w:p>
    <w:p w:rsidR="00085F97" w:rsidRDefault="00912442" w:rsidP="00A10F5E">
      <w:pPr>
        <w:tabs>
          <w:tab w:val="left" w:pos="851"/>
        </w:tabs>
        <w:spacing w:after="0" w:line="240" w:lineRule="auto"/>
        <w:ind w:firstLine="567"/>
        <w:jc w:val="both"/>
        <w:rPr>
          <w:rFonts w:ascii="Times New Roman" w:hAnsi="Times New Roman" w:cs="Times New Roman"/>
        </w:rPr>
      </w:pPr>
      <w:r w:rsidRPr="0025354B">
        <w:rPr>
          <w:rFonts w:ascii="Times New Roman" w:hAnsi="Times New Roman" w:cs="Times New Roman"/>
          <w:i/>
        </w:rPr>
        <w:t>Дирекция „Жилищна политика“</w:t>
      </w:r>
      <w:r w:rsidRPr="0025354B">
        <w:rPr>
          <w:rFonts w:ascii="Times New Roman" w:hAnsi="Times New Roman" w:cs="Times New Roman"/>
        </w:rPr>
        <w:t xml:space="preserve"> има отговорност при изпълнението на Плана за действие за изпълнение на Националната стратегия на Република България за интегриране на ромите 2012 – 2020 г. и допринася за постигане целите на политиката чрез с</w:t>
      </w:r>
      <w:r w:rsidR="00085F97" w:rsidRPr="0025354B">
        <w:rPr>
          <w:rFonts w:ascii="Times New Roman" w:hAnsi="Times New Roman" w:cs="Times New Roman"/>
        </w:rPr>
        <w:t xml:space="preserve">ъздаване на балансирана, съразмерно развиваща се и устойчива жилищна система чрез осигуряване на условия за достъп до качествени </w:t>
      </w:r>
      <w:r w:rsidR="00085F97" w:rsidRPr="0025354B">
        <w:rPr>
          <w:rFonts w:ascii="Times New Roman" w:hAnsi="Times New Roman" w:cs="Times New Roman"/>
        </w:rPr>
        <w:lastRenderedPageBreak/>
        <w:t xml:space="preserve">жилища </w:t>
      </w:r>
      <w:r w:rsidR="00085F97" w:rsidRPr="0025354B">
        <w:rPr>
          <w:rFonts w:ascii="Times New Roman" w:hAnsi="Times New Roman" w:cs="Times New Roman"/>
          <w:lang w:val="en-US"/>
        </w:rPr>
        <w:t>(</w:t>
      </w:r>
      <w:r w:rsidR="00085F97" w:rsidRPr="0025354B">
        <w:rPr>
          <w:rFonts w:ascii="Times New Roman" w:hAnsi="Times New Roman" w:cs="Times New Roman"/>
        </w:rPr>
        <w:t>собствени или наемни</w:t>
      </w:r>
      <w:r w:rsidR="00085F97" w:rsidRPr="0025354B">
        <w:rPr>
          <w:rFonts w:ascii="Times New Roman" w:hAnsi="Times New Roman" w:cs="Times New Roman"/>
          <w:lang w:val="en-US"/>
        </w:rPr>
        <w:t>)</w:t>
      </w:r>
      <w:r w:rsidR="00085F97" w:rsidRPr="0025354B">
        <w:rPr>
          <w:rFonts w:ascii="Times New Roman" w:hAnsi="Times New Roman" w:cs="Times New Roman"/>
        </w:rPr>
        <w:t>, които да задоволяват нуждите на българските граждани. Визията за обновяване на жилищния сграден фонд е сред основните приоритети, като има пряко отношение към аспектите и изискванията на устойчивото развитие.</w:t>
      </w:r>
      <w:r w:rsidRPr="0025354B">
        <w:rPr>
          <w:rFonts w:ascii="Times New Roman" w:hAnsi="Times New Roman" w:cs="Times New Roman"/>
        </w:rPr>
        <w:t xml:space="preserve"> </w:t>
      </w:r>
      <w:r w:rsidR="00085F97" w:rsidRPr="0025354B">
        <w:rPr>
          <w:rFonts w:ascii="Times New Roman" w:hAnsi="Times New Roman" w:cs="Times New Roman"/>
        </w:rPr>
        <w:t>Дирекция</w:t>
      </w:r>
      <w:r w:rsidRPr="0025354B">
        <w:rPr>
          <w:rFonts w:ascii="Times New Roman" w:hAnsi="Times New Roman" w:cs="Times New Roman"/>
        </w:rPr>
        <w:t xml:space="preserve">та </w:t>
      </w:r>
      <w:r w:rsidR="00085F97" w:rsidRPr="0025354B">
        <w:rPr>
          <w:rFonts w:ascii="Times New Roman" w:hAnsi="Times New Roman" w:cs="Times New Roman"/>
        </w:rPr>
        <w:t xml:space="preserve">координира изпълнението на Националната програма за енергийна ефективност на многофамилни жилищни сгради </w:t>
      </w:r>
      <w:r w:rsidR="00085F97" w:rsidRPr="0025354B">
        <w:rPr>
          <w:rFonts w:ascii="Times New Roman" w:hAnsi="Times New Roman" w:cs="Times New Roman"/>
          <w:lang w:val="en-US"/>
        </w:rPr>
        <w:t>(</w:t>
      </w:r>
      <w:r w:rsidR="00085F97" w:rsidRPr="0025354B">
        <w:rPr>
          <w:rFonts w:ascii="Times New Roman" w:hAnsi="Times New Roman" w:cs="Times New Roman"/>
        </w:rPr>
        <w:t>НПЕЕМЖС</w:t>
      </w:r>
      <w:r w:rsidR="00085F97" w:rsidRPr="0025354B">
        <w:rPr>
          <w:rFonts w:ascii="Times New Roman" w:hAnsi="Times New Roman" w:cs="Times New Roman"/>
          <w:lang w:val="en-US"/>
        </w:rPr>
        <w:t>)</w:t>
      </w:r>
      <w:r w:rsidR="00085F97" w:rsidRPr="0025354B">
        <w:rPr>
          <w:rFonts w:ascii="Times New Roman" w:hAnsi="Times New Roman" w:cs="Times New Roman"/>
        </w:rPr>
        <w:t>, която е насочена към обновяване на многофамилни жилищни сгради, като с нея се цели изпълнение на мерки за енергийна ефективност в същите.</w:t>
      </w:r>
    </w:p>
    <w:p w:rsidR="00211B4A" w:rsidRPr="00211B4A" w:rsidRDefault="00211B4A" w:rsidP="00A10F5E">
      <w:pPr>
        <w:tabs>
          <w:tab w:val="left" w:pos="851"/>
        </w:tabs>
        <w:spacing w:after="0" w:line="240" w:lineRule="auto"/>
        <w:ind w:firstLine="567"/>
        <w:jc w:val="both"/>
        <w:rPr>
          <w:rFonts w:ascii="Times New Roman" w:hAnsi="Times New Roman" w:cs="Times New Roman"/>
          <w:b/>
          <w:i/>
        </w:rPr>
      </w:pPr>
      <w:r w:rsidRPr="00211B4A">
        <w:rPr>
          <w:rFonts w:ascii="Times New Roman" w:hAnsi="Times New Roman" w:cs="Times New Roman"/>
          <w:b/>
          <w:i/>
        </w:rPr>
        <w:t>Стратегически цели</w:t>
      </w:r>
    </w:p>
    <w:p w:rsidR="00211B4A" w:rsidRP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Pr>
          <w:rFonts w:ascii="Times New Roman" w:hAnsi="Times New Roman" w:cs="Times New Roman"/>
        </w:rPr>
        <w:t>ст и устойчиво градско развитие;</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и с другите заинтересовани страни, гарантиране на прозрачност в работата и преодоляване на корупционните практики;</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11B4A" w:rsidRDefault="00211B4A" w:rsidP="00A10F5E">
      <w:pPr>
        <w:numPr>
          <w:ilvl w:val="0"/>
          <w:numId w:val="33"/>
        </w:numPr>
        <w:spacing w:after="0" w:line="240" w:lineRule="auto"/>
        <w:ind w:left="0" w:firstLine="567"/>
        <w:jc w:val="both"/>
        <w:rPr>
          <w:rFonts w:ascii="Times New Roman" w:hAnsi="Times New Roman" w:cs="Times New Roman"/>
        </w:rPr>
      </w:pPr>
      <w:r w:rsidRPr="00211B4A">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A10F5E" w:rsidRPr="00211B4A" w:rsidRDefault="00A10F5E" w:rsidP="00A10F5E">
      <w:pPr>
        <w:spacing w:after="0" w:line="240" w:lineRule="auto"/>
        <w:ind w:left="567"/>
        <w:jc w:val="both"/>
        <w:rPr>
          <w:rFonts w:ascii="Times New Roman" w:hAnsi="Times New Roman" w:cs="Times New Roman"/>
        </w:rPr>
      </w:pPr>
    </w:p>
    <w:p w:rsidR="006A4CE0" w:rsidRPr="0025354B" w:rsidRDefault="00766A55" w:rsidP="00A10F5E">
      <w:pPr>
        <w:pStyle w:val="ListParagraph"/>
        <w:numPr>
          <w:ilvl w:val="0"/>
          <w:numId w:val="1"/>
        </w:numPr>
        <w:spacing w:after="0" w:line="240" w:lineRule="auto"/>
        <w:ind w:left="0" w:firstLine="567"/>
        <w:jc w:val="both"/>
        <w:rPr>
          <w:rFonts w:ascii="Times New Roman" w:hAnsi="Times New Roman" w:cs="Times New Roman"/>
          <w:b/>
          <w:i/>
          <w:color w:val="0000CC"/>
        </w:rPr>
      </w:pPr>
      <w:r w:rsidRPr="0025354B">
        <w:rPr>
          <w:rFonts w:ascii="Times New Roman" w:hAnsi="Times New Roman" w:cs="Times New Roman"/>
          <w:b/>
          <w:i/>
          <w:color w:val="0000CC"/>
        </w:rPr>
        <w:t>Отговорност</w:t>
      </w:r>
      <w:r w:rsidR="00D545AA" w:rsidRPr="0025354B">
        <w:rPr>
          <w:rFonts w:ascii="Times New Roman" w:hAnsi="Times New Roman" w:cs="Times New Roman"/>
          <w:b/>
          <w:i/>
          <w:color w:val="0000CC"/>
        </w:rPr>
        <w:t xml:space="preserve"> </w:t>
      </w:r>
      <w:r w:rsidR="00AE0B4B" w:rsidRPr="0025354B">
        <w:rPr>
          <w:rFonts w:ascii="Times New Roman" w:hAnsi="Times New Roman" w:cs="Times New Roman"/>
          <w:b/>
          <w:i/>
          <w:color w:val="0000CC"/>
        </w:rPr>
        <w:t>за</w:t>
      </w:r>
      <w:r w:rsidR="00091C5B" w:rsidRPr="0025354B">
        <w:rPr>
          <w:rFonts w:ascii="Times New Roman" w:hAnsi="Times New Roman" w:cs="Times New Roman"/>
          <w:b/>
          <w:i/>
          <w:color w:val="0000CC"/>
        </w:rPr>
        <w:t xml:space="preserve"> разпределението на публичните разходи</w:t>
      </w:r>
      <w:r w:rsidR="00AE0B4B" w:rsidRPr="0025354B">
        <w:rPr>
          <w:rFonts w:ascii="Times New Roman" w:hAnsi="Times New Roman" w:cs="Times New Roman"/>
          <w:b/>
          <w:i/>
          <w:color w:val="0000CC"/>
        </w:rPr>
        <w:t xml:space="preserve"> за политиката</w:t>
      </w:r>
    </w:p>
    <w:p w:rsidR="006A4CE0" w:rsidRDefault="006A4CE0" w:rsidP="00A10F5E">
      <w:pPr>
        <w:pStyle w:val="ListParagraph"/>
        <w:numPr>
          <w:ilvl w:val="0"/>
          <w:numId w:val="4"/>
        </w:numPr>
        <w:spacing w:after="0" w:line="240" w:lineRule="auto"/>
        <w:ind w:left="1134" w:firstLine="0"/>
        <w:jc w:val="both"/>
        <w:rPr>
          <w:rFonts w:ascii="Times New Roman" w:hAnsi="Times New Roman" w:cs="Times New Roman"/>
          <w:b/>
          <w:i/>
          <w:color w:val="0000CC"/>
        </w:rPr>
      </w:pPr>
      <w:r w:rsidRPr="0025354B">
        <w:rPr>
          <w:rFonts w:ascii="Times New Roman" w:hAnsi="Times New Roman" w:cs="Times New Roman"/>
          <w:b/>
          <w:i/>
          <w:color w:val="0000CC"/>
        </w:rPr>
        <w:t xml:space="preserve"> Консолидирани разходи по политиката, които ПРБ разходва пряко чрез бюджета и отговаря за разпределението/разчитането на</w:t>
      </w:r>
      <w:r w:rsidR="00574848" w:rsidRPr="0025354B">
        <w:rPr>
          <w:rFonts w:ascii="Times New Roman" w:hAnsi="Times New Roman" w:cs="Times New Roman"/>
          <w:b/>
          <w:i/>
          <w:color w:val="0000CC"/>
        </w:rPr>
        <w:t xml:space="preserve"> разходи по други бюджети и ССЕС</w:t>
      </w:r>
    </w:p>
    <w:p w:rsidR="007F7E3B" w:rsidRDefault="007F7E3B" w:rsidP="007F7E3B">
      <w:pPr>
        <w:pStyle w:val="ListParagraph"/>
        <w:spacing w:after="0" w:line="240" w:lineRule="auto"/>
        <w:ind w:left="1134"/>
        <w:jc w:val="both"/>
        <w:rPr>
          <w:rFonts w:ascii="Times New Roman" w:hAnsi="Times New Roman" w:cs="Times New Roman"/>
          <w:b/>
          <w:i/>
          <w:color w:val="0000CC"/>
        </w:rPr>
      </w:pPr>
    </w:p>
    <w:tbl>
      <w:tblPr>
        <w:tblW w:w="9677" w:type="dxa"/>
        <w:tblInd w:w="75" w:type="dxa"/>
        <w:tblCellMar>
          <w:left w:w="70" w:type="dxa"/>
          <w:right w:w="70" w:type="dxa"/>
        </w:tblCellMar>
        <w:tblLook w:val="04A0" w:firstRow="1" w:lastRow="0" w:firstColumn="1" w:lastColumn="0" w:noHBand="0" w:noVBand="1"/>
      </w:tblPr>
      <w:tblGrid>
        <w:gridCol w:w="3397"/>
        <w:gridCol w:w="1580"/>
        <w:gridCol w:w="1420"/>
        <w:gridCol w:w="1600"/>
        <w:gridCol w:w="1680"/>
      </w:tblGrid>
      <w:tr w:rsidR="002F5A10" w:rsidRPr="002F5A10" w:rsidTr="002F5A10">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Област на политика (в хил. лв.)</w:t>
            </w:r>
          </w:p>
        </w:tc>
        <w:tc>
          <w:tcPr>
            <w:tcW w:w="1580" w:type="dxa"/>
            <w:tcBorders>
              <w:top w:val="single" w:sz="4" w:space="0" w:color="auto"/>
              <w:left w:val="nil"/>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 </w:t>
            </w:r>
          </w:p>
        </w:tc>
        <w:tc>
          <w:tcPr>
            <w:tcW w:w="1420" w:type="dxa"/>
            <w:tcBorders>
              <w:top w:val="single" w:sz="4" w:space="0" w:color="auto"/>
              <w:left w:val="nil"/>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Общо разходи</w:t>
            </w:r>
          </w:p>
        </w:tc>
        <w:tc>
          <w:tcPr>
            <w:tcW w:w="1600" w:type="dxa"/>
            <w:tcBorders>
              <w:top w:val="single" w:sz="4" w:space="0" w:color="auto"/>
              <w:left w:val="nil"/>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По бюджета на ПРБ</w:t>
            </w:r>
          </w:p>
        </w:tc>
        <w:tc>
          <w:tcPr>
            <w:tcW w:w="1680" w:type="dxa"/>
            <w:tcBorders>
              <w:top w:val="single" w:sz="4" w:space="0" w:color="auto"/>
              <w:left w:val="nil"/>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По други бюджети и сметки за СЕС</w:t>
            </w:r>
          </w:p>
        </w:tc>
      </w:tr>
      <w:tr w:rsidR="002F5A10" w:rsidRPr="002F5A10" w:rsidTr="002F5A10">
        <w:trPr>
          <w:trHeight w:val="390"/>
        </w:trPr>
        <w:tc>
          <w:tcPr>
            <w:tcW w:w="3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Политика за интегрирано развитие на регионите за постигане на растеж и подобряване качеството на жизнената среда</w:t>
            </w:r>
          </w:p>
        </w:tc>
        <w:tc>
          <w:tcPr>
            <w:tcW w:w="15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i/>
                <w:iCs/>
                <w:color w:val="000000"/>
                <w:sz w:val="18"/>
                <w:szCs w:val="18"/>
                <w:lang w:eastAsia="bg-BG"/>
              </w:rPr>
            </w:pPr>
            <w:r w:rsidRPr="002F5A10">
              <w:rPr>
                <w:rFonts w:ascii="Times New Roman" w:eastAsia="Times New Roman" w:hAnsi="Times New Roman" w:cs="Times New Roman"/>
                <w:i/>
                <w:iCs/>
                <w:color w:val="000000"/>
                <w:sz w:val="18"/>
                <w:szCs w:val="18"/>
                <w:lang w:eastAsia="bg-BG"/>
              </w:rPr>
              <w:t>Проект 2022 г.</w:t>
            </w:r>
          </w:p>
        </w:tc>
        <w:tc>
          <w:tcPr>
            <w:tcW w:w="142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2 221 995,8</w:t>
            </w:r>
          </w:p>
        </w:tc>
        <w:tc>
          <w:tcPr>
            <w:tcW w:w="160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3 024,0</w:t>
            </w:r>
          </w:p>
        </w:tc>
        <w:tc>
          <w:tcPr>
            <w:tcW w:w="16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2 218 971,8</w:t>
            </w:r>
          </w:p>
        </w:tc>
      </w:tr>
      <w:tr w:rsidR="002F5A10" w:rsidRPr="002F5A10" w:rsidTr="002F5A10">
        <w:trPr>
          <w:trHeight w:val="390"/>
        </w:trPr>
        <w:tc>
          <w:tcPr>
            <w:tcW w:w="3397" w:type="dxa"/>
            <w:vMerge/>
            <w:tcBorders>
              <w:top w:val="nil"/>
              <w:left w:val="single" w:sz="4" w:space="0" w:color="auto"/>
              <w:bottom w:val="single" w:sz="4" w:space="0" w:color="auto"/>
              <w:right w:val="single" w:sz="4" w:space="0" w:color="auto"/>
            </w:tcBorders>
            <w:vAlign w:val="center"/>
            <w:hideMark/>
          </w:tcPr>
          <w:p w:rsidR="002F5A10" w:rsidRPr="002F5A10" w:rsidRDefault="002F5A10" w:rsidP="002F5A10">
            <w:pPr>
              <w:spacing w:after="0" w:line="240" w:lineRule="auto"/>
              <w:rPr>
                <w:rFonts w:ascii="Times New Roman" w:eastAsia="Times New Roman" w:hAnsi="Times New Roman" w:cs="Times New Roman"/>
                <w:color w:val="000000"/>
                <w:sz w:val="18"/>
                <w:szCs w:val="18"/>
                <w:lang w:eastAsia="bg-BG"/>
              </w:rPr>
            </w:pPr>
          </w:p>
        </w:tc>
        <w:tc>
          <w:tcPr>
            <w:tcW w:w="15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i/>
                <w:iCs/>
                <w:color w:val="000000"/>
                <w:sz w:val="18"/>
                <w:szCs w:val="18"/>
                <w:lang w:eastAsia="bg-BG"/>
              </w:rPr>
            </w:pPr>
            <w:r w:rsidRPr="002F5A10">
              <w:rPr>
                <w:rFonts w:ascii="Times New Roman" w:eastAsia="Times New Roman" w:hAnsi="Times New Roman" w:cs="Times New Roman"/>
                <w:i/>
                <w:iCs/>
                <w:color w:val="000000"/>
                <w:sz w:val="18"/>
                <w:szCs w:val="18"/>
                <w:lang w:eastAsia="bg-BG"/>
              </w:rPr>
              <w:t>Прогноза 2023 г.</w:t>
            </w:r>
          </w:p>
        </w:tc>
        <w:tc>
          <w:tcPr>
            <w:tcW w:w="142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2 283 656,7</w:t>
            </w:r>
          </w:p>
        </w:tc>
        <w:tc>
          <w:tcPr>
            <w:tcW w:w="160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3 809,0</w:t>
            </w:r>
          </w:p>
        </w:tc>
        <w:tc>
          <w:tcPr>
            <w:tcW w:w="16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2 279 847,7</w:t>
            </w:r>
          </w:p>
        </w:tc>
      </w:tr>
      <w:tr w:rsidR="002F5A10" w:rsidRPr="002F5A10" w:rsidTr="002F5A10">
        <w:trPr>
          <w:trHeight w:val="390"/>
        </w:trPr>
        <w:tc>
          <w:tcPr>
            <w:tcW w:w="3397" w:type="dxa"/>
            <w:vMerge/>
            <w:tcBorders>
              <w:top w:val="nil"/>
              <w:left w:val="single" w:sz="4" w:space="0" w:color="auto"/>
              <w:bottom w:val="single" w:sz="4" w:space="0" w:color="auto"/>
              <w:right w:val="single" w:sz="4" w:space="0" w:color="auto"/>
            </w:tcBorders>
            <w:vAlign w:val="center"/>
            <w:hideMark/>
          </w:tcPr>
          <w:p w:rsidR="002F5A10" w:rsidRPr="002F5A10" w:rsidRDefault="002F5A10" w:rsidP="002F5A10">
            <w:pPr>
              <w:spacing w:after="0" w:line="240" w:lineRule="auto"/>
              <w:rPr>
                <w:rFonts w:ascii="Times New Roman" w:eastAsia="Times New Roman" w:hAnsi="Times New Roman" w:cs="Times New Roman"/>
                <w:color w:val="000000"/>
                <w:sz w:val="18"/>
                <w:szCs w:val="18"/>
                <w:lang w:eastAsia="bg-BG"/>
              </w:rPr>
            </w:pPr>
          </w:p>
        </w:tc>
        <w:tc>
          <w:tcPr>
            <w:tcW w:w="15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i/>
                <w:iCs/>
                <w:color w:val="000000"/>
                <w:sz w:val="18"/>
                <w:szCs w:val="18"/>
                <w:lang w:eastAsia="bg-BG"/>
              </w:rPr>
            </w:pPr>
            <w:r w:rsidRPr="002F5A10">
              <w:rPr>
                <w:rFonts w:ascii="Times New Roman" w:eastAsia="Times New Roman" w:hAnsi="Times New Roman" w:cs="Times New Roman"/>
                <w:i/>
                <w:iCs/>
                <w:color w:val="000000"/>
                <w:sz w:val="18"/>
                <w:szCs w:val="18"/>
                <w:lang w:eastAsia="bg-BG"/>
              </w:rPr>
              <w:t>Прогноза 2024 г.</w:t>
            </w:r>
          </w:p>
        </w:tc>
        <w:tc>
          <w:tcPr>
            <w:tcW w:w="142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912 736,9</w:t>
            </w:r>
          </w:p>
        </w:tc>
        <w:tc>
          <w:tcPr>
            <w:tcW w:w="160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3 564,0</w:t>
            </w:r>
          </w:p>
        </w:tc>
        <w:tc>
          <w:tcPr>
            <w:tcW w:w="16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909 172,9</w:t>
            </w:r>
          </w:p>
        </w:tc>
      </w:tr>
    </w:tbl>
    <w:p w:rsidR="005F5519" w:rsidRDefault="005F5519" w:rsidP="005F5519">
      <w:pPr>
        <w:pStyle w:val="ListParagraph"/>
        <w:spacing w:after="0" w:line="240" w:lineRule="auto"/>
        <w:ind w:left="1134"/>
        <w:jc w:val="both"/>
        <w:rPr>
          <w:rFonts w:ascii="Times New Roman" w:hAnsi="Times New Roman" w:cs="Times New Roman"/>
          <w:b/>
          <w:i/>
          <w:color w:val="0000CC"/>
        </w:rPr>
      </w:pPr>
    </w:p>
    <w:p w:rsidR="005B4591" w:rsidRPr="0025354B" w:rsidRDefault="005B4591" w:rsidP="00A10F5E">
      <w:pPr>
        <w:spacing w:after="0" w:line="240" w:lineRule="auto"/>
        <w:ind w:firstLine="567"/>
        <w:jc w:val="both"/>
        <w:rPr>
          <w:rFonts w:ascii="Times New Roman" w:eastAsia="Times New Roman" w:hAnsi="Times New Roman" w:cs="Times New Roman"/>
          <w:b/>
          <w:bCs/>
          <w:lang w:eastAsia="bg-BG"/>
        </w:rPr>
      </w:pPr>
      <w:r w:rsidRPr="0025354B">
        <w:rPr>
          <w:rFonts w:ascii="Times New Roman" w:eastAsia="Times New Roman" w:hAnsi="Times New Roman" w:cs="Times New Roman"/>
          <w:b/>
          <w:bCs/>
          <w:lang w:eastAsia="bg-BG"/>
        </w:rPr>
        <w:t>Програма „Развитие на регионите” 2021-2027 г.</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b/>
          <w:bCs/>
          <w:i/>
          <w:iCs/>
          <w:lang w:eastAsia="bg-BG"/>
        </w:rPr>
      </w:pPr>
      <w:r w:rsidRPr="00F265BF">
        <w:rPr>
          <w:rFonts w:ascii="Times New Roman" w:eastAsia="Times New Roman" w:hAnsi="Times New Roman" w:cs="Times New Roman"/>
          <w:b/>
          <w:bCs/>
          <w:i/>
          <w:iCs/>
          <w:lang w:eastAsia="bg-BG"/>
        </w:rPr>
        <w:t xml:space="preserve">Стратегически цели: </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bCs/>
          <w:i/>
          <w:iCs/>
          <w:lang w:eastAsia="bg-BG"/>
        </w:rPr>
      </w:pPr>
      <w:r w:rsidRPr="00F265BF">
        <w:rPr>
          <w:rFonts w:ascii="Times New Roman" w:eastAsia="Times New Roman" w:hAnsi="Times New Roman" w:cs="Times New Roman"/>
          <w:lang w:eastAsia="bg-BG"/>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г.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b/>
          <w:bCs/>
          <w:i/>
          <w:iCs/>
          <w:lang w:eastAsia="bg-BG"/>
        </w:rPr>
      </w:pPr>
      <w:r w:rsidRPr="00F265BF">
        <w:rPr>
          <w:rFonts w:ascii="Times New Roman" w:eastAsia="Times New Roman" w:hAnsi="Times New Roman" w:cs="Times New Roman"/>
          <w:b/>
          <w:bCs/>
          <w:i/>
          <w:iCs/>
          <w:lang w:eastAsia="bg-BG"/>
        </w:rPr>
        <w:t>Оперативни цели:</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 xml:space="preserve">За постигането на поставената стратегическа цел ще бъдат адресирани следните специфични цели: </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Насърчаване на балансирано териториално развитие чрез полицентрична мрежа от градове;</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Увеличаване на икономическия растеж на българските региони;</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Справяне с негативните демографски тенденции и намаляване на регионалните различия по отношение на населението.</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lang w:val="en-US" w:eastAsia="bg-BG"/>
        </w:rPr>
      </w:pPr>
      <w:r w:rsidRPr="00F265BF">
        <w:rPr>
          <w:rFonts w:ascii="Times New Roman" w:eastAsia="Times New Roman" w:hAnsi="Times New Roman" w:cs="Times New Roman"/>
          <w:lang w:eastAsia="bg-BG"/>
        </w:rPr>
        <w:t>Предвижда се ПРР 2021-2027 г. да бъде изцяло насочена към цел на политиката 5 съгласно Регламент 2021/1060 с общите разпоредби за фондовете</w:t>
      </w:r>
      <w:r w:rsidRPr="00F265BF">
        <w:rPr>
          <w:rFonts w:ascii="Times New Roman" w:eastAsia="Times New Roman" w:hAnsi="Times New Roman" w:cs="Times New Roman"/>
          <w:lang w:val="en-US" w:eastAsia="bg-BG"/>
        </w:rPr>
        <w:t xml:space="preserve"> – </w:t>
      </w:r>
      <w:r w:rsidRPr="00F265BF">
        <w:rPr>
          <w:rFonts w:ascii="Times New Roman" w:eastAsia="Times New Roman" w:hAnsi="Times New Roman" w:cs="Times New Roman"/>
          <w:lang w:eastAsia="bg-BG"/>
        </w:rPr>
        <w:t xml:space="preserve">„Европа по-близо до гражданите </w:t>
      </w:r>
      <w:r w:rsidRPr="00F265BF">
        <w:rPr>
          <w:rFonts w:ascii="Times New Roman" w:eastAsia="Times New Roman" w:hAnsi="Times New Roman" w:cs="Times New Roman"/>
          <w:lang w:val="ru-RU" w:eastAsia="bg-BG"/>
        </w:rPr>
        <w:t xml:space="preserve">чрез </w:t>
      </w:r>
      <w:r w:rsidRPr="00F265BF">
        <w:rPr>
          <w:rFonts w:ascii="Times New Roman" w:eastAsia="Times New Roman" w:hAnsi="Times New Roman" w:cs="Times New Roman"/>
          <w:lang w:val="ru-RU" w:eastAsia="bg-BG"/>
        </w:rPr>
        <w:lastRenderedPageBreak/>
        <w:t>насърчаване на устойчивото и интегрирано развитие на градските, селските и крайбрежните райони и на местните инициативи</w:t>
      </w:r>
      <w:r w:rsidRPr="00F265BF">
        <w:rPr>
          <w:rFonts w:ascii="Times New Roman" w:eastAsia="Times New Roman" w:hAnsi="Times New Roman" w:cs="Times New Roman"/>
          <w:lang w:val="en-US" w:eastAsia="bg-BG"/>
        </w:rPr>
        <w:t>”</w:t>
      </w:r>
      <w:r w:rsidRPr="00F265BF">
        <w:rPr>
          <w:rFonts w:ascii="Times New Roman" w:eastAsia="Times New Roman" w:hAnsi="Times New Roman" w:cs="Times New Roman"/>
          <w:lang w:eastAsia="bg-BG"/>
        </w:rPr>
        <w:t>,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В допълнение, в рамките на ПРР 2021-2027 г. ще бъдат изпълнявани проекти от териториалните планове за справедлив преход, със средства от Фонда за справедлив преход.</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bCs/>
          <w:lang w:eastAsia="bg-BG"/>
        </w:rPr>
      </w:pPr>
      <w:r w:rsidRPr="00F265BF">
        <w:rPr>
          <w:rFonts w:ascii="Times New Roman" w:eastAsia="Times New Roman" w:hAnsi="Times New Roman" w:cs="Times New Roman"/>
          <w:bCs/>
          <w:lang w:eastAsia="bg-BG"/>
        </w:rPr>
        <w:t>Предоставяни по програмата продукти/услуги</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ПРР 2021-2027 г. ще финансира основно инфраструктурни мерки в следните направления:</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социална, образователна, културна, здравна, спортна инфраструктура;</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енергийна ефективност, устойчива градска мобилност, качествена и безопасна околна среда;</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инфраструктура за развитие на икономически дейности;</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инфраструктура за здравеопазване и деинституционализация на базата на картиране (mapping);</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пътища и безопасност на движението;</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културно-историческо наследство и туризъм;</w:t>
      </w:r>
    </w:p>
    <w:p w:rsidR="00F265BF" w:rsidRPr="00F265BF" w:rsidRDefault="00F265BF" w:rsidP="00A10F5E">
      <w:pPr>
        <w:numPr>
          <w:ilvl w:val="0"/>
          <w:numId w:val="23"/>
        </w:numPr>
        <w:tabs>
          <w:tab w:val="left" w:pos="851"/>
        </w:tabs>
        <w:spacing w:after="0" w:line="240" w:lineRule="auto"/>
        <w:ind w:left="0"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други дейности, допустими по ЕФРР</w:t>
      </w:r>
      <w:r>
        <w:rPr>
          <w:rFonts w:ascii="Times New Roman" w:eastAsia="Times New Roman" w:hAnsi="Times New Roman" w:cs="Times New Roman"/>
          <w:lang w:eastAsia="bg-BG"/>
        </w:rPr>
        <w:t>.</w:t>
      </w:r>
    </w:p>
    <w:p w:rsidR="00F265BF" w:rsidRPr="00F265BF" w:rsidRDefault="00F265BF" w:rsidP="00A10F5E">
      <w:pPr>
        <w:tabs>
          <w:tab w:val="left" w:pos="993"/>
        </w:tabs>
        <w:spacing w:after="0" w:line="240" w:lineRule="auto"/>
        <w:ind w:firstLine="567"/>
        <w:jc w:val="both"/>
        <w:rPr>
          <w:rFonts w:ascii="Times New Roman" w:eastAsia="Times New Roman" w:hAnsi="Times New Roman" w:cs="Times New Roman"/>
          <w:lang w:eastAsia="bg-BG"/>
        </w:rPr>
      </w:pPr>
      <w:r w:rsidRPr="00F265BF">
        <w:rPr>
          <w:rFonts w:ascii="Times New Roman" w:eastAsia="Times New Roman" w:hAnsi="Times New Roman" w:cs="Times New Roman"/>
          <w:lang w:eastAsia="bg-BG"/>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rsidR="00676E01" w:rsidRDefault="00676E01" w:rsidP="00A10F5E">
      <w:pPr>
        <w:pStyle w:val="ListParagraph"/>
        <w:tabs>
          <w:tab w:val="left" w:pos="851"/>
        </w:tabs>
        <w:spacing w:after="0" w:line="240" w:lineRule="auto"/>
        <w:ind w:left="567"/>
        <w:jc w:val="both"/>
        <w:rPr>
          <w:rFonts w:ascii="Times New Roman" w:hAnsi="Times New Roman" w:cs="Times New Roman"/>
          <w:b/>
          <w:i/>
          <w:color w:val="0000CC"/>
        </w:rPr>
      </w:pPr>
    </w:p>
    <w:p w:rsidR="00740960" w:rsidRDefault="00230093" w:rsidP="00A10F5E">
      <w:pPr>
        <w:pStyle w:val="ListParagraph"/>
        <w:tabs>
          <w:tab w:val="left" w:pos="851"/>
        </w:tabs>
        <w:spacing w:after="0" w:line="240" w:lineRule="auto"/>
        <w:ind w:left="567"/>
        <w:jc w:val="both"/>
        <w:rPr>
          <w:rFonts w:ascii="Times New Roman" w:hAnsi="Times New Roman" w:cs="Times New Roman"/>
          <w:b/>
          <w:i/>
          <w:color w:val="0000CC"/>
        </w:rPr>
      </w:pPr>
      <w:r w:rsidRPr="009A0A4F">
        <w:rPr>
          <w:rFonts w:ascii="Times New Roman" w:hAnsi="Times New Roman" w:cs="Times New Roman"/>
          <w:b/>
          <w:i/>
          <w:color w:val="0000CC"/>
        </w:rPr>
        <w:t>Ключови индикатори и целеви стойности</w:t>
      </w:r>
      <w:r w:rsidR="00091C5B" w:rsidRPr="009A0A4F">
        <w:rPr>
          <w:rFonts w:ascii="Times New Roman" w:hAnsi="Times New Roman" w:cs="Times New Roman"/>
          <w:b/>
          <w:i/>
          <w:color w:val="0000CC"/>
        </w:rPr>
        <w:t xml:space="preserve"> (попълва се за всяка област на политика)</w:t>
      </w:r>
    </w:p>
    <w:tbl>
      <w:tblPr>
        <w:tblStyle w:val="TableGrid2"/>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141"/>
        <w:gridCol w:w="1268"/>
        <w:gridCol w:w="1135"/>
        <w:gridCol w:w="141"/>
      </w:tblGrid>
      <w:tr w:rsidR="008459A5" w:rsidRPr="00FB714C" w:rsidTr="00B250C9">
        <w:trPr>
          <w:gridAfter w:val="1"/>
          <w:wAfter w:w="141" w:type="dxa"/>
          <w:trHeight w:val="801"/>
        </w:trPr>
        <w:tc>
          <w:tcPr>
            <w:tcW w:w="5070" w:type="dxa"/>
          </w:tcPr>
          <w:p w:rsidR="008459A5" w:rsidRPr="00FB714C" w:rsidRDefault="008459A5" w:rsidP="00A10F5E">
            <w:pPr>
              <w:jc w:val="center"/>
              <w:rPr>
                <w:rFonts w:ascii="Times New Roman" w:hAnsi="Times New Roman" w:cs="Times New Roman"/>
                <w:i/>
                <w:iCs/>
                <w:sz w:val="20"/>
                <w:szCs w:val="20"/>
              </w:rPr>
            </w:pPr>
            <w:r w:rsidRPr="00FB714C">
              <w:rPr>
                <w:rFonts w:ascii="Times New Roman" w:hAnsi="Times New Roman" w:cs="Times New Roman"/>
                <w:i/>
                <w:iCs/>
                <w:sz w:val="20"/>
                <w:szCs w:val="20"/>
              </w:rPr>
              <w:t>Област на политика:</w:t>
            </w:r>
          </w:p>
          <w:p w:rsidR="008459A5" w:rsidRPr="00FB714C" w:rsidRDefault="008459A5" w:rsidP="00567CD4">
            <w:pPr>
              <w:rPr>
                <w:rFonts w:ascii="Times New Roman" w:hAnsi="Times New Roman" w:cs="Times New Roman"/>
                <w:b/>
                <w:bCs/>
                <w:sz w:val="20"/>
                <w:szCs w:val="20"/>
              </w:rPr>
            </w:pPr>
            <w:r w:rsidRPr="00FB714C">
              <w:rPr>
                <w:rFonts w:ascii="Times New Roman" w:eastAsia="Times New Roman" w:hAnsi="Times New Roman" w:cs="Times New Roman"/>
                <w:color w:val="000000"/>
                <w:sz w:val="20"/>
                <w:szCs w:val="20"/>
                <w:lang w:eastAsia="bg-BG"/>
              </w:rPr>
              <w:t>Политика за интегрирано развитие на регионите</w:t>
            </w:r>
            <w:r w:rsidR="00567CD4">
              <w:rPr>
                <w:rFonts w:ascii="Times New Roman" w:eastAsia="Times New Roman" w:hAnsi="Times New Roman" w:cs="Times New Roman"/>
                <w:color w:val="000000"/>
                <w:sz w:val="20"/>
                <w:szCs w:val="20"/>
                <w:lang w:eastAsia="bg-BG"/>
              </w:rPr>
              <w:t xml:space="preserve"> за постигане на растеж и подобряване качеството на </w:t>
            </w:r>
            <w:r w:rsidRPr="00FB714C">
              <w:rPr>
                <w:rFonts w:ascii="Times New Roman" w:eastAsia="Times New Roman" w:hAnsi="Times New Roman" w:cs="Times New Roman"/>
                <w:color w:val="000000"/>
                <w:sz w:val="20"/>
                <w:szCs w:val="20"/>
                <w:lang w:eastAsia="bg-BG"/>
              </w:rPr>
              <w:t>жизнената среда</w:t>
            </w:r>
            <w:r w:rsidRPr="00FB714C">
              <w:rPr>
                <w:rFonts w:ascii="Times New Roman" w:hAnsi="Times New Roman" w:cs="Times New Roman"/>
                <w:i/>
                <w:iCs/>
                <w:sz w:val="20"/>
                <w:szCs w:val="20"/>
              </w:rPr>
              <w:t>.</w:t>
            </w:r>
          </w:p>
        </w:tc>
        <w:tc>
          <w:tcPr>
            <w:tcW w:w="1134" w:type="dxa"/>
            <w:vMerge w:val="restart"/>
            <w:shd w:val="clear" w:color="auto" w:fill="F2F2F2" w:themeFill="background1" w:themeFillShade="F2"/>
            <w:vAlign w:val="center"/>
          </w:tcPr>
          <w:p w:rsidR="008459A5" w:rsidRPr="00FB714C" w:rsidRDefault="008459A5" w:rsidP="00B250C9">
            <w:pPr>
              <w:jc w:val="center"/>
              <w:rPr>
                <w:rFonts w:ascii="Times New Roman" w:hAnsi="Times New Roman" w:cs="Times New Roman"/>
                <w:b/>
                <w:bCs/>
                <w:sz w:val="20"/>
                <w:szCs w:val="20"/>
              </w:rPr>
            </w:pPr>
            <w:r w:rsidRPr="00FB714C">
              <w:rPr>
                <w:rFonts w:ascii="Times New Roman" w:hAnsi="Times New Roman" w:cs="Times New Roman"/>
                <w:b/>
                <w:bCs/>
                <w:sz w:val="20"/>
                <w:szCs w:val="20"/>
              </w:rPr>
              <w:t>Мерна единица</w:t>
            </w:r>
          </w:p>
        </w:tc>
        <w:tc>
          <w:tcPr>
            <w:tcW w:w="1141" w:type="dxa"/>
          </w:tcPr>
          <w:p w:rsidR="008459A5" w:rsidRPr="00FB714C" w:rsidRDefault="008459A5" w:rsidP="00A10F5E">
            <w:pPr>
              <w:jc w:val="center"/>
              <w:rPr>
                <w:rFonts w:ascii="Times New Roman" w:hAnsi="Times New Roman" w:cs="Times New Roman"/>
                <w:b/>
                <w:bCs/>
                <w:sz w:val="20"/>
                <w:szCs w:val="20"/>
              </w:rPr>
            </w:pPr>
          </w:p>
        </w:tc>
        <w:tc>
          <w:tcPr>
            <w:tcW w:w="2403" w:type="dxa"/>
            <w:gridSpan w:val="2"/>
            <w:tcBorders>
              <w:top w:val="single" w:sz="4" w:space="0" w:color="auto"/>
              <w:bottom w:val="single" w:sz="4" w:space="0" w:color="auto"/>
            </w:tcBorders>
            <w:vAlign w:val="center"/>
          </w:tcPr>
          <w:p w:rsidR="008459A5" w:rsidRPr="00FB714C" w:rsidRDefault="008459A5" w:rsidP="00B250C9">
            <w:pPr>
              <w:jc w:val="center"/>
              <w:rPr>
                <w:rFonts w:ascii="Times New Roman" w:hAnsi="Times New Roman" w:cs="Times New Roman"/>
                <w:b/>
                <w:bCs/>
                <w:sz w:val="20"/>
                <w:szCs w:val="20"/>
              </w:rPr>
            </w:pPr>
            <w:r w:rsidRPr="00FB714C">
              <w:rPr>
                <w:rFonts w:ascii="Times New Roman" w:hAnsi="Times New Roman" w:cs="Times New Roman"/>
                <w:b/>
                <w:bCs/>
                <w:sz w:val="20"/>
                <w:szCs w:val="20"/>
              </w:rPr>
              <w:t>Целева стойност</w:t>
            </w:r>
          </w:p>
        </w:tc>
      </w:tr>
      <w:tr w:rsidR="006D4941" w:rsidRPr="00FB714C" w:rsidTr="009D0BE9">
        <w:trPr>
          <w:trHeight w:val="200"/>
        </w:trPr>
        <w:tc>
          <w:tcPr>
            <w:tcW w:w="5070" w:type="dxa"/>
            <w:tcBorders>
              <w:bottom w:val="single" w:sz="4" w:space="0" w:color="auto"/>
            </w:tcBorders>
          </w:tcPr>
          <w:p w:rsidR="006D4941" w:rsidRPr="00FB714C" w:rsidRDefault="006D4941"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Наименование на индикатора</w:t>
            </w:r>
          </w:p>
        </w:tc>
        <w:tc>
          <w:tcPr>
            <w:tcW w:w="1134" w:type="dxa"/>
            <w:vMerge/>
            <w:tcBorders>
              <w:bottom w:val="single" w:sz="4" w:space="0" w:color="auto"/>
            </w:tcBorders>
            <w:shd w:val="clear" w:color="auto" w:fill="F2F2F2" w:themeFill="background1" w:themeFillShade="F2"/>
          </w:tcPr>
          <w:p w:rsidR="006D4941" w:rsidRPr="00FB714C" w:rsidRDefault="006D4941" w:rsidP="00A10F5E">
            <w:pPr>
              <w:jc w:val="center"/>
              <w:rPr>
                <w:rFonts w:ascii="Times New Roman" w:hAnsi="Times New Roman" w:cs="Times New Roman"/>
                <w:b/>
                <w:bCs/>
                <w:sz w:val="20"/>
                <w:szCs w:val="20"/>
              </w:rPr>
            </w:pPr>
          </w:p>
        </w:tc>
        <w:tc>
          <w:tcPr>
            <w:tcW w:w="1141" w:type="dxa"/>
            <w:tcBorders>
              <w:bottom w:val="single" w:sz="4" w:space="0" w:color="auto"/>
            </w:tcBorders>
          </w:tcPr>
          <w:p w:rsidR="006D4941" w:rsidRPr="00FB714C" w:rsidRDefault="006D4941"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w:t>
            </w:r>
            <w:r w:rsidR="00FE0B47">
              <w:rPr>
                <w:rFonts w:ascii="Times New Roman" w:hAnsi="Times New Roman" w:cs="Times New Roman"/>
                <w:b/>
                <w:bCs/>
                <w:i/>
                <w:iCs/>
                <w:sz w:val="20"/>
                <w:szCs w:val="20"/>
              </w:rPr>
              <w:t>ект</w:t>
            </w:r>
            <w:r w:rsidR="006F4BDD" w:rsidRPr="00FB714C">
              <w:rPr>
                <w:rFonts w:ascii="Times New Roman" w:hAnsi="Times New Roman" w:cs="Times New Roman"/>
                <w:b/>
                <w:bCs/>
                <w:i/>
                <w:iCs/>
                <w:sz w:val="20"/>
                <w:szCs w:val="20"/>
              </w:rPr>
              <w:t xml:space="preserve"> 2022</w:t>
            </w:r>
            <w:r w:rsidRPr="00FB714C">
              <w:rPr>
                <w:rFonts w:ascii="Times New Roman" w:hAnsi="Times New Roman" w:cs="Times New Roman"/>
                <w:b/>
                <w:bCs/>
                <w:i/>
                <w:iCs/>
                <w:sz w:val="20"/>
                <w:szCs w:val="20"/>
              </w:rPr>
              <w:t xml:space="preserve"> г.</w:t>
            </w:r>
          </w:p>
        </w:tc>
        <w:tc>
          <w:tcPr>
            <w:tcW w:w="1268" w:type="dxa"/>
            <w:tcBorders>
              <w:top w:val="single" w:sz="4" w:space="0" w:color="auto"/>
              <w:bottom w:val="single" w:sz="4" w:space="0" w:color="auto"/>
            </w:tcBorders>
          </w:tcPr>
          <w:p w:rsidR="006D4941" w:rsidRPr="00FB714C" w:rsidRDefault="006D4941"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Прогноза</w:t>
            </w:r>
          </w:p>
          <w:p w:rsidR="006D4941" w:rsidRPr="00FB714C" w:rsidRDefault="006D4941"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3</w:t>
            </w:r>
            <w:r w:rsidRPr="00FB714C">
              <w:rPr>
                <w:rFonts w:ascii="Times New Roman" w:hAnsi="Times New Roman" w:cs="Times New Roman"/>
                <w:b/>
                <w:bCs/>
                <w:i/>
                <w:iCs/>
                <w:sz w:val="20"/>
                <w:szCs w:val="20"/>
              </w:rPr>
              <w:t xml:space="preserve"> г.</w:t>
            </w:r>
          </w:p>
        </w:tc>
        <w:tc>
          <w:tcPr>
            <w:tcW w:w="1276" w:type="dxa"/>
            <w:gridSpan w:val="2"/>
            <w:tcBorders>
              <w:top w:val="single" w:sz="4" w:space="0" w:color="auto"/>
              <w:bottom w:val="single" w:sz="4" w:space="0" w:color="auto"/>
            </w:tcBorders>
          </w:tcPr>
          <w:p w:rsidR="006D4941" w:rsidRPr="00FB714C" w:rsidRDefault="006D4941"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Прогноза</w:t>
            </w:r>
          </w:p>
          <w:p w:rsidR="006D4941" w:rsidRPr="00FB714C" w:rsidRDefault="006D4941"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4</w:t>
            </w:r>
            <w:r w:rsidRPr="00FB714C">
              <w:rPr>
                <w:rFonts w:ascii="Times New Roman" w:hAnsi="Times New Roman" w:cs="Times New Roman"/>
                <w:b/>
                <w:bCs/>
                <w:i/>
                <w:iCs/>
                <w:sz w:val="20"/>
                <w:szCs w:val="20"/>
              </w:rPr>
              <w:t xml:space="preserve"> г.</w:t>
            </w:r>
          </w:p>
        </w:tc>
      </w:tr>
      <w:tr w:rsidR="002362A8" w:rsidRPr="00FB714C" w:rsidTr="000970F2">
        <w:trPr>
          <w:trHeight w:val="834"/>
        </w:trPr>
        <w:tc>
          <w:tcPr>
            <w:tcW w:w="5070" w:type="dxa"/>
            <w:tcBorders>
              <w:top w:val="single" w:sz="4" w:space="0" w:color="auto"/>
              <w:bottom w:val="nil"/>
            </w:tcBorders>
            <w:vAlign w:val="center"/>
          </w:tcPr>
          <w:p w:rsidR="002362A8" w:rsidRPr="00FB714C" w:rsidRDefault="002362A8" w:rsidP="00A10F5E">
            <w:pPr>
              <w:rPr>
                <w:rFonts w:ascii="Times New Roman" w:eastAsia="Times New Roman" w:hAnsi="Times New Roman" w:cs="Times New Roman"/>
                <w:sz w:val="20"/>
                <w:szCs w:val="20"/>
                <w:lang w:eastAsia="bg-BG"/>
              </w:rPr>
            </w:pPr>
            <w:r w:rsidRPr="00FB714C">
              <w:rPr>
                <w:rFonts w:ascii="Times New Roman" w:hAnsi="Times New Roman" w:cs="Times New Roman"/>
                <w:sz w:val="20"/>
                <w:szCs w:val="20"/>
              </w:rPr>
              <w:t>1.</w:t>
            </w:r>
            <w:r w:rsidRPr="00FB714C">
              <w:rPr>
                <w:rFonts w:ascii="Times New Roman" w:hAnsi="Times New Roman" w:cs="Times New Roman"/>
                <w:b/>
                <w:sz w:val="20"/>
                <w:szCs w:val="20"/>
              </w:rPr>
              <w:t xml:space="preserve"> </w:t>
            </w:r>
            <w:r w:rsidRPr="00FB714C">
              <w:rPr>
                <w:rFonts w:ascii="Times New Roman" w:eastAsia="Times New Roman" w:hAnsi="Times New Roman" w:cs="Times New Roman"/>
                <w:sz w:val="20"/>
                <w:szCs w:val="20"/>
                <w:lang w:eastAsia="bg-BG"/>
              </w:rPr>
              <w:t>Изпълнение на Пътна карта за нови подходи в регионалната политика</w:t>
            </w:r>
            <w:r w:rsidRPr="00FB714C">
              <w:rPr>
                <w:rFonts w:ascii="Times New Roman" w:eastAsia="Times New Roman" w:hAnsi="Times New Roman" w:cs="Times New Roman"/>
                <w:sz w:val="20"/>
                <w:szCs w:val="20"/>
                <w:lang w:val="en-US" w:eastAsia="bg-BG"/>
              </w:rPr>
              <w:t xml:space="preserve"> </w:t>
            </w:r>
            <w:r w:rsidRPr="00FB714C">
              <w:rPr>
                <w:rFonts w:ascii="Times New Roman" w:eastAsia="Times New Roman" w:hAnsi="Times New Roman" w:cs="Times New Roman"/>
                <w:sz w:val="20"/>
                <w:szCs w:val="20"/>
                <w:lang w:eastAsia="bg-BG"/>
              </w:rPr>
              <w:t>с цел създаване на условия за балансирано териториално развитие</w:t>
            </w:r>
          </w:p>
          <w:p w:rsidR="002362A8" w:rsidRPr="004D4CC6" w:rsidRDefault="002362A8" w:rsidP="00A10F5E">
            <w:pPr>
              <w:rPr>
                <w:rFonts w:ascii="Times New Roman" w:eastAsia="Times New Roman" w:hAnsi="Times New Roman" w:cs="Times New Roman"/>
                <w:sz w:val="20"/>
                <w:szCs w:val="20"/>
                <w:lang w:eastAsia="bg-BG"/>
              </w:rPr>
            </w:pPr>
            <w:r w:rsidRPr="00FB714C">
              <w:rPr>
                <w:rFonts w:ascii="Times New Roman" w:eastAsia="Times New Roman" w:hAnsi="Times New Roman" w:cs="Times New Roman"/>
                <w:sz w:val="20"/>
                <w:szCs w:val="20"/>
                <w:lang w:eastAsia="bg-BG"/>
              </w:rPr>
              <w:t>(с натрупване)</w:t>
            </w:r>
          </w:p>
        </w:tc>
        <w:tc>
          <w:tcPr>
            <w:tcW w:w="1134" w:type="dxa"/>
            <w:tcBorders>
              <w:top w:val="single" w:sz="4" w:space="0" w:color="auto"/>
              <w:bottom w:val="nil"/>
            </w:tcBorders>
            <w:shd w:val="clear" w:color="auto" w:fill="F2F2F2" w:themeFill="background1" w:themeFillShade="F2"/>
            <w:vAlign w:val="center"/>
          </w:tcPr>
          <w:p w:rsidR="002362A8" w:rsidRPr="00FB714C" w:rsidRDefault="002362A8" w:rsidP="00A10F5E">
            <w:pPr>
              <w:jc w:val="center"/>
              <w:rPr>
                <w:rFonts w:ascii="Times New Roman" w:hAnsi="Times New Roman" w:cs="Times New Roman"/>
                <w:sz w:val="20"/>
                <w:szCs w:val="20"/>
                <w:lang w:val="en-US"/>
              </w:rPr>
            </w:pPr>
            <w:r w:rsidRPr="00FB714C">
              <w:rPr>
                <w:rFonts w:ascii="Times New Roman" w:hAnsi="Times New Roman" w:cs="Times New Roman"/>
                <w:sz w:val="20"/>
                <w:szCs w:val="20"/>
              </w:rPr>
              <w:t>%</w:t>
            </w:r>
          </w:p>
        </w:tc>
        <w:tc>
          <w:tcPr>
            <w:tcW w:w="1141" w:type="dxa"/>
            <w:tcBorders>
              <w:top w:val="single" w:sz="4" w:space="0" w:color="auto"/>
              <w:bottom w:val="nil"/>
            </w:tcBorders>
            <w:vAlign w:val="center"/>
          </w:tcPr>
          <w:p w:rsidR="002362A8" w:rsidRPr="00FB714C" w:rsidRDefault="002362A8" w:rsidP="00A10F5E">
            <w:pPr>
              <w:jc w:val="center"/>
              <w:rPr>
                <w:rFonts w:ascii="Times New Roman" w:hAnsi="Times New Roman" w:cs="Times New Roman"/>
                <w:sz w:val="20"/>
                <w:szCs w:val="20"/>
              </w:rPr>
            </w:pPr>
            <w:r w:rsidRPr="00FB714C">
              <w:rPr>
                <w:rFonts w:ascii="Times New Roman" w:hAnsi="Times New Roman" w:cs="Times New Roman"/>
                <w:sz w:val="20"/>
                <w:szCs w:val="20"/>
              </w:rPr>
              <w:t>100</w:t>
            </w:r>
          </w:p>
        </w:tc>
        <w:tc>
          <w:tcPr>
            <w:tcW w:w="1268" w:type="dxa"/>
            <w:tcBorders>
              <w:top w:val="single" w:sz="4" w:space="0" w:color="auto"/>
              <w:bottom w:val="nil"/>
            </w:tcBorders>
            <w:vAlign w:val="center"/>
          </w:tcPr>
          <w:p w:rsidR="002362A8" w:rsidRPr="00FB714C" w:rsidRDefault="00237363" w:rsidP="00A10F5E">
            <w:pPr>
              <w:jc w:val="center"/>
              <w:rPr>
                <w:rFonts w:ascii="Times New Roman" w:hAnsi="Times New Roman" w:cs="Times New Roman"/>
                <w:sz w:val="20"/>
                <w:szCs w:val="20"/>
                <w:lang w:val="en-US"/>
              </w:rPr>
            </w:pPr>
            <w:r w:rsidRPr="00FB714C">
              <w:rPr>
                <w:rFonts w:ascii="Times New Roman" w:hAnsi="Times New Roman" w:cs="Times New Roman"/>
                <w:sz w:val="20"/>
                <w:szCs w:val="20"/>
              </w:rPr>
              <w:t>30</w:t>
            </w:r>
          </w:p>
        </w:tc>
        <w:tc>
          <w:tcPr>
            <w:tcW w:w="1276" w:type="dxa"/>
            <w:gridSpan w:val="2"/>
            <w:tcBorders>
              <w:top w:val="single" w:sz="4" w:space="0" w:color="auto"/>
              <w:bottom w:val="nil"/>
            </w:tcBorders>
            <w:vAlign w:val="center"/>
          </w:tcPr>
          <w:p w:rsidR="002362A8" w:rsidRPr="00FB714C" w:rsidRDefault="002362A8" w:rsidP="00A10F5E">
            <w:pPr>
              <w:jc w:val="center"/>
              <w:rPr>
                <w:rFonts w:ascii="Times New Roman" w:hAnsi="Times New Roman" w:cs="Times New Roman"/>
                <w:sz w:val="20"/>
                <w:szCs w:val="20"/>
              </w:rPr>
            </w:pPr>
            <w:r w:rsidRPr="00CE6D5B">
              <w:rPr>
                <w:rFonts w:ascii="Times New Roman" w:hAnsi="Times New Roman" w:cs="Times New Roman"/>
                <w:sz w:val="20"/>
                <w:szCs w:val="20"/>
              </w:rPr>
              <w:t>30</w:t>
            </w:r>
          </w:p>
        </w:tc>
      </w:tr>
      <w:tr w:rsidR="002362A8" w:rsidRPr="00FB714C" w:rsidTr="00A10F5E">
        <w:trPr>
          <w:trHeight w:val="232"/>
        </w:trPr>
        <w:tc>
          <w:tcPr>
            <w:tcW w:w="5070" w:type="dxa"/>
            <w:tcBorders>
              <w:top w:val="single" w:sz="4" w:space="0" w:color="auto"/>
              <w:bottom w:val="nil"/>
            </w:tcBorders>
            <w:vAlign w:val="center"/>
          </w:tcPr>
          <w:p w:rsidR="002362A8" w:rsidRPr="00FB714C" w:rsidRDefault="002362A8" w:rsidP="00A10F5E">
            <w:pPr>
              <w:rPr>
                <w:rFonts w:ascii="Times New Roman" w:hAnsi="Times New Roman" w:cs="Times New Roman"/>
                <w:b/>
                <w:sz w:val="20"/>
                <w:szCs w:val="20"/>
              </w:rPr>
            </w:pPr>
            <w:r w:rsidRPr="00FB714C">
              <w:rPr>
                <w:rFonts w:ascii="Times New Roman" w:eastAsia="Times New Roman" w:hAnsi="Times New Roman" w:cs="Times New Roman"/>
                <w:sz w:val="20"/>
                <w:szCs w:val="20"/>
                <w:lang w:eastAsia="bg-BG"/>
              </w:rPr>
              <w:t>2. Намаляване на дела на мигриралото население (вътрешна миграция)</w:t>
            </w:r>
          </w:p>
        </w:tc>
        <w:tc>
          <w:tcPr>
            <w:tcW w:w="1134" w:type="dxa"/>
            <w:tcBorders>
              <w:top w:val="single" w:sz="4" w:space="0" w:color="auto"/>
              <w:bottom w:val="nil"/>
            </w:tcBorders>
            <w:shd w:val="clear" w:color="auto" w:fill="F2F2F2" w:themeFill="background1" w:themeFillShade="F2"/>
            <w:vAlign w:val="center"/>
          </w:tcPr>
          <w:p w:rsidR="002362A8" w:rsidRPr="00FB714C" w:rsidRDefault="002362A8" w:rsidP="00A10F5E">
            <w:pPr>
              <w:jc w:val="center"/>
              <w:rPr>
                <w:rFonts w:ascii="Times New Roman" w:hAnsi="Times New Roman" w:cs="Times New Roman"/>
                <w:sz w:val="20"/>
                <w:szCs w:val="20"/>
                <w:lang w:val="en-US"/>
              </w:rPr>
            </w:pPr>
            <w:r w:rsidRPr="00FB714C">
              <w:rPr>
                <w:rFonts w:ascii="Times New Roman" w:hAnsi="Times New Roman" w:cs="Times New Roman"/>
                <w:sz w:val="20"/>
                <w:szCs w:val="20"/>
              </w:rPr>
              <w:t>%</w:t>
            </w:r>
          </w:p>
        </w:tc>
        <w:tc>
          <w:tcPr>
            <w:tcW w:w="1141" w:type="dxa"/>
            <w:tcBorders>
              <w:top w:val="single" w:sz="4" w:space="0" w:color="auto"/>
              <w:bottom w:val="nil"/>
            </w:tcBorders>
            <w:vAlign w:val="center"/>
          </w:tcPr>
          <w:p w:rsidR="002362A8" w:rsidRPr="00FB714C" w:rsidRDefault="002362A8" w:rsidP="00A10F5E">
            <w:pPr>
              <w:jc w:val="center"/>
              <w:rPr>
                <w:rFonts w:ascii="Times New Roman" w:hAnsi="Times New Roman" w:cs="Times New Roman"/>
                <w:sz w:val="20"/>
                <w:szCs w:val="20"/>
                <w:lang w:val="en-US"/>
              </w:rPr>
            </w:pPr>
            <w:r w:rsidRPr="00FB714C">
              <w:rPr>
                <w:rFonts w:ascii="Times New Roman" w:hAnsi="Times New Roman" w:cs="Times New Roman"/>
                <w:sz w:val="20"/>
                <w:szCs w:val="20"/>
              </w:rPr>
              <w:t>2,0</w:t>
            </w:r>
            <w:r w:rsidRPr="00FB714C">
              <w:rPr>
                <w:rFonts w:ascii="Times New Roman" w:hAnsi="Times New Roman" w:cs="Times New Roman"/>
                <w:sz w:val="20"/>
                <w:szCs w:val="20"/>
                <w:lang w:val="en-US"/>
              </w:rPr>
              <w:t>2</w:t>
            </w:r>
          </w:p>
        </w:tc>
        <w:tc>
          <w:tcPr>
            <w:tcW w:w="1268" w:type="dxa"/>
            <w:tcBorders>
              <w:top w:val="single" w:sz="4" w:space="0" w:color="auto"/>
              <w:bottom w:val="nil"/>
            </w:tcBorders>
            <w:vAlign w:val="center"/>
          </w:tcPr>
          <w:p w:rsidR="002362A8" w:rsidRPr="00FB714C" w:rsidRDefault="00237363" w:rsidP="00A10F5E">
            <w:pPr>
              <w:jc w:val="center"/>
              <w:rPr>
                <w:rFonts w:ascii="Times New Roman" w:hAnsi="Times New Roman" w:cs="Times New Roman"/>
                <w:sz w:val="20"/>
                <w:szCs w:val="20"/>
              </w:rPr>
            </w:pPr>
            <w:r w:rsidRPr="00FB714C">
              <w:rPr>
                <w:rFonts w:ascii="Times New Roman" w:eastAsia="Times New Roman" w:hAnsi="Times New Roman" w:cs="Times New Roman"/>
                <w:sz w:val="20"/>
                <w:szCs w:val="20"/>
                <w:lang w:eastAsia="bg-BG"/>
              </w:rPr>
              <w:t>2,01</w:t>
            </w:r>
          </w:p>
        </w:tc>
        <w:tc>
          <w:tcPr>
            <w:tcW w:w="1276" w:type="dxa"/>
            <w:gridSpan w:val="2"/>
            <w:tcBorders>
              <w:top w:val="single" w:sz="4" w:space="0" w:color="auto"/>
              <w:bottom w:val="nil"/>
            </w:tcBorders>
            <w:vAlign w:val="center"/>
          </w:tcPr>
          <w:p w:rsidR="002362A8" w:rsidRPr="00FB714C" w:rsidRDefault="002362A8" w:rsidP="00A10F5E">
            <w:pPr>
              <w:jc w:val="center"/>
              <w:rPr>
                <w:rFonts w:ascii="Times New Roman" w:hAnsi="Times New Roman" w:cs="Times New Roman"/>
                <w:sz w:val="20"/>
                <w:szCs w:val="20"/>
                <w:lang w:val="en-US"/>
              </w:rPr>
            </w:pPr>
            <w:r w:rsidRPr="00CE6D5B">
              <w:rPr>
                <w:rFonts w:ascii="Times New Roman" w:hAnsi="Times New Roman" w:cs="Times New Roman"/>
                <w:sz w:val="20"/>
                <w:szCs w:val="20"/>
              </w:rPr>
              <w:t>2,0</w:t>
            </w:r>
            <w:r w:rsidRPr="00CE6D5B">
              <w:rPr>
                <w:rFonts w:ascii="Times New Roman" w:hAnsi="Times New Roman" w:cs="Times New Roman"/>
                <w:sz w:val="20"/>
                <w:szCs w:val="20"/>
                <w:lang w:val="en-US"/>
              </w:rPr>
              <w:t>1</w:t>
            </w:r>
          </w:p>
        </w:tc>
      </w:tr>
      <w:tr w:rsidR="00CB1305" w:rsidRPr="00FB714C" w:rsidTr="00A10F5E">
        <w:trPr>
          <w:trHeight w:val="325"/>
        </w:trPr>
        <w:tc>
          <w:tcPr>
            <w:tcW w:w="5070" w:type="dxa"/>
            <w:tcBorders>
              <w:top w:val="single" w:sz="4" w:space="0" w:color="auto"/>
              <w:bottom w:val="nil"/>
            </w:tcBorders>
            <w:vAlign w:val="center"/>
          </w:tcPr>
          <w:p w:rsidR="00CB1305" w:rsidRPr="00FB714C" w:rsidRDefault="00CB1305" w:rsidP="00A10F5E">
            <w:pPr>
              <w:tabs>
                <w:tab w:val="left" w:pos="284"/>
              </w:tabs>
              <w:rPr>
                <w:rFonts w:ascii="Times New Roman" w:hAnsi="Times New Roman" w:cs="Times New Roman"/>
                <w:sz w:val="20"/>
                <w:szCs w:val="20"/>
              </w:rPr>
            </w:pPr>
            <w:r w:rsidRPr="00FB714C">
              <w:rPr>
                <w:rFonts w:ascii="Times New Roman" w:hAnsi="Times New Roman" w:cs="Times New Roman"/>
                <w:sz w:val="20"/>
                <w:szCs w:val="20"/>
              </w:rPr>
              <w:t>3. Брой реконструирани/възстановени културни и исторически обекти</w:t>
            </w:r>
          </w:p>
        </w:tc>
        <w:tc>
          <w:tcPr>
            <w:tcW w:w="1134" w:type="dxa"/>
            <w:tcBorders>
              <w:top w:val="single" w:sz="4" w:space="0" w:color="auto"/>
              <w:bottom w:val="nil"/>
            </w:tcBorders>
            <w:shd w:val="clear" w:color="auto" w:fill="F2F2F2" w:themeFill="background1" w:themeFillShade="F2"/>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брой</w:t>
            </w:r>
          </w:p>
        </w:tc>
        <w:tc>
          <w:tcPr>
            <w:tcW w:w="1141"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68"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76" w:type="dxa"/>
            <w:gridSpan w:val="2"/>
            <w:tcBorders>
              <w:top w:val="single" w:sz="4" w:space="0" w:color="auto"/>
              <w:bottom w:val="nil"/>
            </w:tcBorders>
            <w:vAlign w:val="center"/>
          </w:tcPr>
          <w:p w:rsidR="00CB1305" w:rsidRPr="00FB714C" w:rsidRDefault="00CB1305" w:rsidP="0006563D">
            <w:pPr>
              <w:jc w:val="center"/>
              <w:rPr>
                <w:rFonts w:ascii="Times New Roman" w:hAnsi="Times New Roman" w:cs="Times New Roman"/>
                <w:sz w:val="20"/>
                <w:szCs w:val="20"/>
              </w:rPr>
            </w:pPr>
            <w:r w:rsidRPr="00FB714C">
              <w:rPr>
                <w:rFonts w:ascii="Times New Roman" w:hAnsi="Times New Roman" w:cs="Times New Roman"/>
                <w:sz w:val="20"/>
                <w:szCs w:val="20"/>
              </w:rPr>
              <w:t>55</w:t>
            </w:r>
            <w:r w:rsidRPr="00FB714C">
              <w:rPr>
                <w:rFonts w:ascii="Times New Roman" w:hAnsi="Times New Roman" w:cs="Times New Roman"/>
                <w:b/>
                <w:bCs/>
                <w:sz w:val="20"/>
                <w:szCs w:val="20"/>
              </w:rPr>
              <w:t>*</w:t>
            </w:r>
          </w:p>
        </w:tc>
      </w:tr>
      <w:tr w:rsidR="00CB1305" w:rsidRPr="00FB714C" w:rsidTr="00A10F5E">
        <w:trPr>
          <w:trHeight w:val="196"/>
        </w:trPr>
        <w:tc>
          <w:tcPr>
            <w:tcW w:w="5070" w:type="dxa"/>
            <w:tcBorders>
              <w:top w:val="single" w:sz="4" w:space="0" w:color="auto"/>
              <w:bottom w:val="nil"/>
            </w:tcBorders>
            <w:vAlign w:val="center"/>
          </w:tcPr>
          <w:p w:rsidR="00CB1305" w:rsidRPr="00FB714C" w:rsidRDefault="00CB1305" w:rsidP="00A10F5E">
            <w:pPr>
              <w:rPr>
                <w:rFonts w:ascii="Times New Roman" w:hAnsi="Times New Roman" w:cs="Times New Roman"/>
                <w:sz w:val="20"/>
                <w:szCs w:val="20"/>
              </w:rPr>
            </w:pPr>
            <w:r w:rsidRPr="00FB714C">
              <w:rPr>
                <w:rFonts w:ascii="Times New Roman" w:hAnsi="Times New Roman" w:cs="Times New Roman"/>
                <w:sz w:val="20"/>
                <w:szCs w:val="20"/>
              </w:rPr>
              <w:t>4. Население, възползващо се от мерки за защита от наводнения или горски пожари</w:t>
            </w:r>
          </w:p>
        </w:tc>
        <w:tc>
          <w:tcPr>
            <w:tcW w:w="1134" w:type="dxa"/>
            <w:tcBorders>
              <w:top w:val="single" w:sz="4" w:space="0" w:color="auto"/>
              <w:bottom w:val="nil"/>
            </w:tcBorders>
            <w:shd w:val="clear" w:color="auto" w:fill="F2F2F2" w:themeFill="background1" w:themeFillShade="F2"/>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брой</w:t>
            </w:r>
          </w:p>
        </w:tc>
        <w:tc>
          <w:tcPr>
            <w:tcW w:w="1141"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lang w:val="en-US"/>
              </w:rPr>
            </w:pPr>
          </w:p>
        </w:tc>
        <w:tc>
          <w:tcPr>
            <w:tcW w:w="1268"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76" w:type="dxa"/>
            <w:gridSpan w:val="2"/>
            <w:tcBorders>
              <w:top w:val="single" w:sz="4" w:space="0" w:color="auto"/>
              <w:bottom w:val="nil"/>
            </w:tcBorders>
            <w:vAlign w:val="center"/>
          </w:tcPr>
          <w:p w:rsidR="00CB1305" w:rsidRPr="00FB714C" w:rsidRDefault="00CB1305" w:rsidP="0006563D">
            <w:pPr>
              <w:jc w:val="center"/>
              <w:rPr>
                <w:rFonts w:ascii="Times New Roman" w:hAnsi="Times New Roman" w:cs="Times New Roman"/>
                <w:sz w:val="20"/>
                <w:szCs w:val="20"/>
              </w:rPr>
            </w:pPr>
            <w:r w:rsidRPr="00FB714C">
              <w:rPr>
                <w:rFonts w:ascii="Times New Roman" w:hAnsi="Times New Roman" w:cs="Times New Roman"/>
                <w:sz w:val="20"/>
                <w:szCs w:val="20"/>
              </w:rPr>
              <w:t>4</w:t>
            </w:r>
            <w:r>
              <w:rPr>
                <w:rFonts w:ascii="Times New Roman" w:hAnsi="Times New Roman" w:cs="Times New Roman"/>
                <w:sz w:val="20"/>
                <w:szCs w:val="20"/>
              </w:rPr>
              <w:t xml:space="preserve"> </w:t>
            </w:r>
            <w:r w:rsidRPr="00FB714C">
              <w:rPr>
                <w:rFonts w:ascii="Times New Roman" w:hAnsi="Times New Roman" w:cs="Times New Roman"/>
                <w:sz w:val="20"/>
                <w:szCs w:val="20"/>
              </w:rPr>
              <w:t>400</w:t>
            </w:r>
            <w:r>
              <w:rPr>
                <w:rFonts w:ascii="Times New Roman" w:hAnsi="Times New Roman" w:cs="Times New Roman"/>
                <w:sz w:val="20"/>
                <w:szCs w:val="20"/>
              </w:rPr>
              <w:t xml:space="preserve"> </w:t>
            </w:r>
            <w:r w:rsidRPr="00FB714C">
              <w:rPr>
                <w:rFonts w:ascii="Times New Roman" w:hAnsi="Times New Roman" w:cs="Times New Roman"/>
                <w:sz w:val="20"/>
                <w:szCs w:val="20"/>
              </w:rPr>
              <w:t>856</w:t>
            </w:r>
            <w:r w:rsidRPr="00FB714C">
              <w:rPr>
                <w:rFonts w:ascii="Times New Roman" w:hAnsi="Times New Roman" w:cs="Times New Roman"/>
                <w:b/>
                <w:bCs/>
                <w:sz w:val="20"/>
                <w:szCs w:val="20"/>
              </w:rPr>
              <w:t>*</w:t>
            </w:r>
          </w:p>
        </w:tc>
      </w:tr>
      <w:tr w:rsidR="00CB1305" w:rsidRPr="00FB714C" w:rsidTr="00A10F5E">
        <w:trPr>
          <w:trHeight w:val="196"/>
        </w:trPr>
        <w:tc>
          <w:tcPr>
            <w:tcW w:w="5070" w:type="dxa"/>
            <w:tcBorders>
              <w:top w:val="single" w:sz="4" w:space="0" w:color="auto"/>
              <w:bottom w:val="nil"/>
            </w:tcBorders>
            <w:vAlign w:val="center"/>
          </w:tcPr>
          <w:p w:rsidR="00CB1305" w:rsidRPr="00FB714C" w:rsidRDefault="00CB1305" w:rsidP="00A10F5E">
            <w:pPr>
              <w:rPr>
                <w:rFonts w:ascii="Times New Roman" w:hAnsi="Times New Roman" w:cs="Times New Roman"/>
                <w:sz w:val="20"/>
                <w:szCs w:val="20"/>
              </w:rPr>
            </w:pPr>
            <w:r w:rsidRPr="00FB714C">
              <w:rPr>
                <w:rFonts w:ascii="Times New Roman" w:hAnsi="Times New Roman" w:cs="Times New Roman"/>
                <w:sz w:val="20"/>
                <w:szCs w:val="20"/>
              </w:rPr>
              <w:t>5. Общ брой младежи, включени в схеми за младежко предприемачество и инициативи</w:t>
            </w:r>
          </w:p>
        </w:tc>
        <w:tc>
          <w:tcPr>
            <w:tcW w:w="1134" w:type="dxa"/>
            <w:tcBorders>
              <w:top w:val="single" w:sz="4" w:space="0" w:color="auto"/>
              <w:bottom w:val="nil"/>
            </w:tcBorders>
            <w:shd w:val="clear" w:color="auto" w:fill="F2F2F2" w:themeFill="background1" w:themeFillShade="F2"/>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брой</w:t>
            </w:r>
          </w:p>
        </w:tc>
        <w:tc>
          <w:tcPr>
            <w:tcW w:w="1141"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lang w:val="en-US"/>
              </w:rPr>
            </w:pPr>
          </w:p>
        </w:tc>
        <w:tc>
          <w:tcPr>
            <w:tcW w:w="1268"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76" w:type="dxa"/>
            <w:gridSpan w:val="2"/>
            <w:tcBorders>
              <w:top w:val="single" w:sz="4" w:space="0" w:color="auto"/>
              <w:bottom w:val="nil"/>
            </w:tcBorders>
            <w:vAlign w:val="center"/>
          </w:tcPr>
          <w:p w:rsidR="00CB1305" w:rsidRPr="00FB714C" w:rsidRDefault="00CB1305" w:rsidP="0006563D">
            <w:pPr>
              <w:jc w:val="center"/>
              <w:rPr>
                <w:rFonts w:ascii="Times New Roman" w:hAnsi="Times New Roman" w:cs="Times New Roman"/>
                <w:sz w:val="20"/>
                <w:szCs w:val="20"/>
              </w:rPr>
            </w:pPr>
            <w:r w:rsidRPr="00FB714C">
              <w:rPr>
                <w:rFonts w:ascii="Times New Roman" w:hAnsi="Times New Roman" w:cs="Times New Roman"/>
                <w:bCs/>
                <w:sz w:val="20"/>
                <w:szCs w:val="20"/>
              </w:rPr>
              <w:t>573</w:t>
            </w:r>
            <w:r w:rsidRPr="00FB714C">
              <w:rPr>
                <w:rFonts w:ascii="Times New Roman" w:hAnsi="Times New Roman" w:cs="Times New Roman"/>
                <w:b/>
                <w:bCs/>
                <w:sz w:val="20"/>
                <w:szCs w:val="20"/>
              </w:rPr>
              <w:t>*</w:t>
            </w:r>
          </w:p>
        </w:tc>
      </w:tr>
      <w:tr w:rsidR="00CB1305" w:rsidRPr="00FB714C" w:rsidTr="00A10F5E">
        <w:trPr>
          <w:trHeight w:val="196"/>
        </w:trPr>
        <w:tc>
          <w:tcPr>
            <w:tcW w:w="5070" w:type="dxa"/>
            <w:tcBorders>
              <w:top w:val="single" w:sz="4" w:space="0" w:color="auto"/>
              <w:bottom w:val="nil"/>
            </w:tcBorders>
            <w:vAlign w:val="center"/>
          </w:tcPr>
          <w:p w:rsidR="00CB1305" w:rsidRPr="00FB714C" w:rsidRDefault="00CB1305" w:rsidP="00A10F5E">
            <w:pPr>
              <w:rPr>
                <w:rFonts w:ascii="Times New Roman" w:hAnsi="Times New Roman" w:cs="Times New Roman"/>
                <w:sz w:val="20"/>
                <w:szCs w:val="20"/>
              </w:rPr>
            </w:pPr>
            <w:r w:rsidRPr="00FB714C">
              <w:rPr>
                <w:rFonts w:ascii="Times New Roman" w:hAnsi="Times New Roman" w:cs="Times New Roman"/>
                <w:sz w:val="20"/>
                <w:szCs w:val="20"/>
              </w:rPr>
              <w:t>6. Брой участници в инициативи за обучение и квалификация</w:t>
            </w:r>
          </w:p>
        </w:tc>
        <w:tc>
          <w:tcPr>
            <w:tcW w:w="1134" w:type="dxa"/>
            <w:tcBorders>
              <w:top w:val="single" w:sz="4" w:space="0" w:color="auto"/>
              <w:bottom w:val="nil"/>
            </w:tcBorders>
            <w:shd w:val="clear" w:color="auto" w:fill="F2F2F2" w:themeFill="background1" w:themeFillShade="F2"/>
            <w:vAlign w:val="center"/>
          </w:tcPr>
          <w:p w:rsidR="00CB1305" w:rsidRPr="00FB714C" w:rsidRDefault="00CB1305" w:rsidP="00A10F5E">
            <w:pPr>
              <w:jc w:val="center"/>
              <w:rPr>
                <w:rFonts w:ascii="Times New Roman" w:hAnsi="Times New Roman" w:cs="Times New Roman"/>
                <w:sz w:val="20"/>
                <w:szCs w:val="20"/>
              </w:rPr>
            </w:pPr>
            <w:r w:rsidRPr="00FB714C">
              <w:rPr>
                <w:rFonts w:ascii="Times New Roman" w:hAnsi="Times New Roman" w:cs="Times New Roman"/>
                <w:sz w:val="20"/>
                <w:szCs w:val="20"/>
              </w:rPr>
              <w:t>брой</w:t>
            </w:r>
          </w:p>
        </w:tc>
        <w:tc>
          <w:tcPr>
            <w:tcW w:w="1141"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lang w:val="en-US"/>
              </w:rPr>
            </w:pPr>
          </w:p>
        </w:tc>
        <w:tc>
          <w:tcPr>
            <w:tcW w:w="1268" w:type="dxa"/>
            <w:tcBorders>
              <w:top w:val="single" w:sz="4" w:space="0" w:color="auto"/>
              <w:bottom w:val="nil"/>
            </w:tcBorders>
            <w:vAlign w:val="center"/>
          </w:tcPr>
          <w:p w:rsidR="00CB1305" w:rsidRPr="00FB714C" w:rsidRDefault="00CB1305" w:rsidP="00A10F5E">
            <w:pPr>
              <w:jc w:val="center"/>
              <w:rPr>
                <w:rFonts w:ascii="Times New Roman" w:hAnsi="Times New Roman" w:cs="Times New Roman"/>
                <w:sz w:val="20"/>
                <w:szCs w:val="20"/>
              </w:rPr>
            </w:pPr>
          </w:p>
        </w:tc>
        <w:tc>
          <w:tcPr>
            <w:tcW w:w="1276" w:type="dxa"/>
            <w:gridSpan w:val="2"/>
            <w:tcBorders>
              <w:top w:val="single" w:sz="4" w:space="0" w:color="auto"/>
              <w:bottom w:val="nil"/>
            </w:tcBorders>
            <w:vAlign w:val="center"/>
          </w:tcPr>
          <w:p w:rsidR="00CB1305" w:rsidRPr="00FB714C" w:rsidRDefault="00CB1305" w:rsidP="0006563D">
            <w:pPr>
              <w:jc w:val="center"/>
              <w:rPr>
                <w:rFonts w:ascii="Times New Roman" w:hAnsi="Times New Roman" w:cs="Times New Roman"/>
                <w:sz w:val="20"/>
                <w:szCs w:val="20"/>
              </w:rPr>
            </w:pPr>
            <w:r w:rsidRPr="00FB714C">
              <w:rPr>
                <w:rFonts w:ascii="Times New Roman" w:hAnsi="Times New Roman" w:cs="Times New Roman"/>
                <w:bCs/>
                <w:sz w:val="20"/>
                <w:szCs w:val="20"/>
              </w:rPr>
              <w:t>150</w:t>
            </w:r>
            <w:r w:rsidRPr="00FB714C">
              <w:rPr>
                <w:rFonts w:ascii="Times New Roman" w:hAnsi="Times New Roman" w:cs="Times New Roman"/>
                <w:b/>
                <w:bCs/>
                <w:sz w:val="20"/>
                <w:szCs w:val="20"/>
              </w:rPr>
              <w:t>*</w:t>
            </w:r>
          </w:p>
        </w:tc>
      </w:tr>
      <w:tr w:rsidR="007712E3" w:rsidRPr="00FB714C" w:rsidTr="003C41E2">
        <w:trPr>
          <w:trHeight w:val="196"/>
        </w:trPr>
        <w:tc>
          <w:tcPr>
            <w:tcW w:w="5070" w:type="dxa"/>
            <w:tcBorders>
              <w:top w:val="single" w:sz="4" w:space="0" w:color="auto"/>
              <w:bottom w:val="single" w:sz="4" w:space="0" w:color="auto"/>
            </w:tcBorders>
            <w:vAlign w:val="center"/>
          </w:tcPr>
          <w:p w:rsidR="007712E3" w:rsidRPr="001A7F8A" w:rsidRDefault="007712E3" w:rsidP="007712E3">
            <w:pPr>
              <w:rPr>
                <w:rFonts w:ascii="Times New Roman" w:hAnsi="Times New Roman" w:cs="Times New Roman"/>
                <w:color w:val="000000" w:themeColor="text1"/>
                <w:sz w:val="20"/>
                <w:szCs w:val="20"/>
              </w:rPr>
            </w:pPr>
            <w:r w:rsidRPr="001A7F8A">
              <w:rPr>
                <w:rFonts w:ascii="Times New Roman" w:hAnsi="Times New Roman" w:cs="Times New Roman"/>
                <w:color w:val="000000" w:themeColor="text1"/>
                <w:sz w:val="20"/>
                <w:szCs w:val="20"/>
              </w:rPr>
              <w:t xml:space="preserve">7. Нарастване потенциала на АТЕ за ефективно и ефикасно планиране, управление и използване на ресурсите за устойчиво местно развитие </w:t>
            </w:r>
          </w:p>
          <w:p w:rsidR="007712E3" w:rsidRPr="001A7F8A" w:rsidRDefault="007712E3" w:rsidP="007712E3">
            <w:pPr>
              <w:tabs>
                <w:tab w:val="left" w:pos="690"/>
              </w:tabs>
              <w:rPr>
                <w:rFonts w:ascii="Times New Roman" w:hAnsi="Times New Roman" w:cs="Times New Roman"/>
                <w:color w:val="000000" w:themeColor="text1"/>
                <w:sz w:val="20"/>
                <w:szCs w:val="20"/>
              </w:rPr>
            </w:pPr>
            <w:r w:rsidRPr="001A7F8A">
              <w:rPr>
                <w:rFonts w:ascii="Times New Roman" w:hAnsi="Times New Roman" w:cs="Times New Roman"/>
                <w:i/>
                <w:color w:val="000000" w:themeColor="text1"/>
                <w:sz w:val="20"/>
                <w:szCs w:val="20"/>
              </w:rPr>
              <w:t>(нарастване дела на общините, отчитащи резултати над средните за страната по показатели за финансова самостоятелност и инвестиционна активност</w:t>
            </w:r>
            <w:r w:rsidRPr="001A7F8A">
              <w:rPr>
                <w:rFonts w:ascii="Times New Roman" w:hAnsi="Times New Roman" w:cs="Times New Roman"/>
                <w:color w:val="000000" w:themeColor="text1"/>
                <w:sz w:val="20"/>
                <w:szCs w:val="20"/>
              </w:rPr>
              <w:t>)</w:t>
            </w:r>
          </w:p>
        </w:tc>
        <w:tc>
          <w:tcPr>
            <w:tcW w:w="1134" w:type="dxa"/>
            <w:tcBorders>
              <w:top w:val="single" w:sz="4" w:space="0" w:color="auto"/>
              <w:bottom w:val="single" w:sz="4" w:space="0" w:color="auto"/>
            </w:tcBorders>
            <w:shd w:val="clear" w:color="auto" w:fill="F2F2F2" w:themeFill="background1" w:themeFillShade="F2"/>
            <w:vAlign w:val="center"/>
          </w:tcPr>
          <w:p w:rsidR="007712E3" w:rsidRPr="001A7F8A" w:rsidRDefault="007712E3" w:rsidP="007712E3">
            <w:pPr>
              <w:jc w:val="center"/>
              <w:rPr>
                <w:rFonts w:ascii="Times New Roman" w:hAnsi="Times New Roman" w:cs="Times New Roman"/>
                <w:color w:val="000000" w:themeColor="text1"/>
                <w:sz w:val="20"/>
                <w:szCs w:val="20"/>
              </w:rPr>
            </w:pPr>
            <w:r w:rsidRPr="001A7F8A">
              <w:rPr>
                <w:rFonts w:ascii="Times New Roman" w:hAnsi="Times New Roman" w:cs="Times New Roman"/>
                <w:sz w:val="20"/>
                <w:szCs w:val="20"/>
              </w:rPr>
              <w:t>%</w:t>
            </w:r>
          </w:p>
        </w:tc>
        <w:tc>
          <w:tcPr>
            <w:tcW w:w="1141" w:type="dxa"/>
            <w:tcBorders>
              <w:top w:val="single" w:sz="4" w:space="0" w:color="auto"/>
              <w:bottom w:val="single" w:sz="4" w:space="0" w:color="auto"/>
            </w:tcBorders>
            <w:vAlign w:val="center"/>
          </w:tcPr>
          <w:p w:rsidR="007712E3" w:rsidRPr="001A7F8A" w:rsidRDefault="007712E3" w:rsidP="007712E3">
            <w:pPr>
              <w:jc w:val="center"/>
              <w:rPr>
                <w:rFonts w:ascii="Times New Roman" w:hAnsi="Times New Roman" w:cs="Times New Roman"/>
                <w:color w:val="000000" w:themeColor="text1"/>
                <w:sz w:val="20"/>
                <w:szCs w:val="20"/>
              </w:rPr>
            </w:pPr>
            <w:r w:rsidRPr="001A7F8A">
              <w:rPr>
                <w:rFonts w:ascii="Times New Roman" w:hAnsi="Times New Roman" w:cs="Times New Roman"/>
                <w:color w:val="000000" w:themeColor="text1"/>
                <w:sz w:val="20"/>
                <w:szCs w:val="20"/>
              </w:rPr>
              <w:t>1,0</w:t>
            </w:r>
          </w:p>
        </w:tc>
        <w:tc>
          <w:tcPr>
            <w:tcW w:w="1268" w:type="dxa"/>
            <w:tcBorders>
              <w:top w:val="single" w:sz="4" w:space="0" w:color="auto"/>
              <w:bottom w:val="single" w:sz="4" w:space="0" w:color="auto"/>
            </w:tcBorders>
            <w:vAlign w:val="center"/>
          </w:tcPr>
          <w:p w:rsidR="007712E3" w:rsidRPr="001A7F8A" w:rsidRDefault="007712E3" w:rsidP="007712E3">
            <w:pPr>
              <w:jc w:val="center"/>
              <w:rPr>
                <w:rFonts w:ascii="Times New Roman" w:hAnsi="Times New Roman" w:cs="Times New Roman"/>
                <w:color w:val="000000" w:themeColor="text1"/>
                <w:sz w:val="20"/>
                <w:szCs w:val="20"/>
              </w:rPr>
            </w:pPr>
            <w:r w:rsidRPr="001A7F8A">
              <w:rPr>
                <w:rFonts w:ascii="Times New Roman" w:hAnsi="Times New Roman" w:cs="Times New Roman"/>
                <w:color w:val="000000" w:themeColor="text1"/>
                <w:sz w:val="20"/>
                <w:szCs w:val="20"/>
              </w:rPr>
              <w:t>1,1</w:t>
            </w:r>
          </w:p>
        </w:tc>
        <w:tc>
          <w:tcPr>
            <w:tcW w:w="1276" w:type="dxa"/>
            <w:gridSpan w:val="2"/>
            <w:tcBorders>
              <w:top w:val="single" w:sz="4" w:space="0" w:color="auto"/>
              <w:bottom w:val="single" w:sz="4" w:space="0" w:color="auto"/>
            </w:tcBorders>
            <w:vAlign w:val="center"/>
          </w:tcPr>
          <w:p w:rsidR="007712E3" w:rsidRPr="0006563D" w:rsidRDefault="007712E3" w:rsidP="007712E3">
            <w:pPr>
              <w:jc w:val="center"/>
              <w:rPr>
                <w:rFonts w:ascii="Times New Roman" w:hAnsi="Times New Roman" w:cs="Times New Roman"/>
                <w:color w:val="000000" w:themeColor="text1"/>
                <w:sz w:val="20"/>
                <w:szCs w:val="20"/>
                <w:lang w:val="en-US"/>
              </w:rPr>
            </w:pPr>
            <w:r w:rsidRPr="001A7F8A">
              <w:rPr>
                <w:rFonts w:ascii="Times New Roman" w:hAnsi="Times New Roman" w:cs="Times New Roman"/>
                <w:color w:val="000000" w:themeColor="text1"/>
                <w:sz w:val="20"/>
                <w:szCs w:val="20"/>
              </w:rPr>
              <w:t>1,2</w:t>
            </w:r>
            <w:r w:rsidR="0006563D">
              <w:rPr>
                <w:rFonts w:ascii="Times New Roman" w:hAnsi="Times New Roman" w:cs="Times New Roman"/>
                <w:color w:val="000000" w:themeColor="text1"/>
                <w:sz w:val="20"/>
                <w:szCs w:val="20"/>
                <w:lang w:val="en-US"/>
              </w:rPr>
              <w:t>**</w:t>
            </w:r>
          </w:p>
        </w:tc>
      </w:tr>
      <w:tr w:rsidR="007712E3" w:rsidRPr="00FB714C" w:rsidTr="00211B4A">
        <w:trPr>
          <w:trHeight w:val="70"/>
        </w:trPr>
        <w:tc>
          <w:tcPr>
            <w:tcW w:w="5070" w:type="dxa"/>
            <w:tcBorders>
              <w:top w:val="single" w:sz="4" w:space="0" w:color="auto"/>
              <w:bottom w:val="nil"/>
            </w:tcBorders>
          </w:tcPr>
          <w:p w:rsidR="007712E3" w:rsidRPr="00FB714C" w:rsidRDefault="007712E3" w:rsidP="007712E3">
            <w:pPr>
              <w:rPr>
                <w:rFonts w:ascii="Times New Roman" w:hAnsi="Times New Roman" w:cs="Times New Roman"/>
                <w:sz w:val="20"/>
                <w:szCs w:val="20"/>
              </w:rPr>
            </w:pPr>
          </w:p>
        </w:tc>
        <w:tc>
          <w:tcPr>
            <w:tcW w:w="1134" w:type="dxa"/>
            <w:tcBorders>
              <w:top w:val="single" w:sz="4" w:space="0" w:color="auto"/>
              <w:bottom w:val="nil"/>
            </w:tcBorders>
            <w:shd w:val="clear" w:color="auto" w:fill="F2F2F2" w:themeFill="background1" w:themeFillShade="F2"/>
          </w:tcPr>
          <w:p w:rsidR="007712E3" w:rsidRPr="00FB714C" w:rsidRDefault="007712E3" w:rsidP="007712E3">
            <w:pPr>
              <w:rPr>
                <w:rFonts w:ascii="Times New Roman" w:hAnsi="Times New Roman" w:cs="Times New Roman"/>
                <w:bCs/>
                <w:sz w:val="20"/>
                <w:szCs w:val="20"/>
              </w:rPr>
            </w:pPr>
          </w:p>
        </w:tc>
        <w:tc>
          <w:tcPr>
            <w:tcW w:w="1141" w:type="dxa"/>
            <w:tcBorders>
              <w:top w:val="single" w:sz="4" w:space="0" w:color="auto"/>
              <w:bottom w:val="nil"/>
            </w:tcBorders>
          </w:tcPr>
          <w:p w:rsidR="007712E3" w:rsidRPr="00FB714C" w:rsidRDefault="007712E3" w:rsidP="007712E3">
            <w:pPr>
              <w:jc w:val="center"/>
              <w:rPr>
                <w:rFonts w:ascii="Times New Roman" w:hAnsi="Times New Roman" w:cs="Times New Roman"/>
                <w:bCs/>
                <w:sz w:val="20"/>
                <w:szCs w:val="20"/>
              </w:rPr>
            </w:pPr>
          </w:p>
        </w:tc>
        <w:tc>
          <w:tcPr>
            <w:tcW w:w="1268" w:type="dxa"/>
            <w:tcBorders>
              <w:top w:val="single" w:sz="4" w:space="0" w:color="auto"/>
              <w:bottom w:val="nil"/>
            </w:tcBorders>
          </w:tcPr>
          <w:p w:rsidR="007712E3" w:rsidRPr="00FB714C" w:rsidRDefault="007712E3" w:rsidP="007712E3">
            <w:pPr>
              <w:rPr>
                <w:rFonts w:ascii="Times New Roman" w:hAnsi="Times New Roman" w:cs="Times New Roman"/>
                <w:bCs/>
                <w:sz w:val="20"/>
                <w:szCs w:val="20"/>
              </w:rPr>
            </w:pPr>
          </w:p>
        </w:tc>
        <w:tc>
          <w:tcPr>
            <w:tcW w:w="1276" w:type="dxa"/>
            <w:gridSpan w:val="2"/>
            <w:tcBorders>
              <w:top w:val="single" w:sz="4" w:space="0" w:color="auto"/>
              <w:bottom w:val="nil"/>
            </w:tcBorders>
          </w:tcPr>
          <w:p w:rsidR="007712E3" w:rsidRPr="00FB714C" w:rsidRDefault="007712E3" w:rsidP="007712E3">
            <w:pPr>
              <w:rPr>
                <w:rFonts w:ascii="Times New Roman" w:hAnsi="Times New Roman" w:cs="Times New Roman"/>
                <w:bCs/>
                <w:sz w:val="20"/>
                <w:szCs w:val="20"/>
              </w:rPr>
            </w:pPr>
          </w:p>
        </w:tc>
      </w:tr>
    </w:tbl>
    <w:p w:rsidR="0006563D" w:rsidRPr="0006563D" w:rsidRDefault="00AD3BB2" w:rsidP="0006563D">
      <w:pPr>
        <w:spacing w:after="0" w:line="240" w:lineRule="auto"/>
        <w:contextualSpacing/>
        <w:jc w:val="both"/>
        <w:rPr>
          <w:rFonts w:ascii="Times New Roman" w:eastAsia="Calibri" w:hAnsi="Times New Roman" w:cs="Times New Roman"/>
          <w:color w:val="000000"/>
          <w:sz w:val="16"/>
          <w:szCs w:val="16"/>
          <w:lang w:val="ru-RU"/>
        </w:rPr>
      </w:pPr>
      <w:r w:rsidRPr="002362A8">
        <w:rPr>
          <w:rFonts w:ascii="Times New Roman" w:eastAsia="Calibri" w:hAnsi="Times New Roman" w:cs="Times New Roman"/>
          <w:color w:val="000000"/>
          <w:sz w:val="16"/>
          <w:szCs w:val="16"/>
          <w:lang w:val="ru-RU"/>
        </w:rPr>
        <w:t>* Целевите стойности са определени в одобрените от ЕК програмни документи за целия период на изпълнение на програмите</w:t>
      </w:r>
      <w:r w:rsidRPr="002362A8">
        <w:rPr>
          <w:rFonts w:ascii="Times New Roman" w:eastAsia="Calibri" w:hAnsi="Times New Roman" w:cs="Times New Roman"/>
          <w:color w:val="000000"/>
          <w:sz w:val="16"/>
          <w:szCs w:val="16"/>
        </w:rPr>
        <w:t>, като са актуализирани съгласно последното изменение на програмите с Република Турция и Република Сърбия</w:t>
      </w:r>
      <w:r w:rsidRPr="002362A8">
        <w:rPr>
          <w:rFonts w:ascii="Times New Roman" w:eastAsia="Calibri" w:hAnsi="Times New Roman" w:cs="Times New Roman"/>
          <w:color w:val="000000"/>
          <w:sz w:val="16"/>
          <w:szCs w:val="16"/>
          <w:lang w:val="ru-RU"/>
        </w:rPr>
        <w:t>.</w:t>
      </w:r>
    </w:p>
    <w:p w:rsidR="00A10F5E" w:rsidRDefault="0006563D" w:rsidP="00A10F5E">
      <w:pPr>
        <w:spacing w:after="0" w:line="240" w:lineRule="auto"/>
        <w:contextualSpacing/>
        <w:jc w:val="both"/>
        <w:rPr>
          <w:rFonts w:ascii="Times New Roman" w:eastAsia="Calibri" w:hAnsi="Times New Roman" w:cs="Times New Roman"/>
          <w:color w:val="000000"/>
          <w:sz w:val="16"/>
          <w:szCs w:val="16"/>
          <w:lang w:val="ru-RU"/>
        </w:rPr>
      </w:pPr>
      <w:r>
        <w:rPr>
          <w:rFonts w:ascii="Times New Roman" w:eastAsia="Calibri" w:hAnsi="Times New Roman" w:cs="Times New Roman"/>
          <w:color w:val="000000"/>
          <w:sz w:val="16"/>
          <w:szCs w:val="16"/>
          <w:lang w:val="ru-RU"/>
        </w:rPr>
        <w:t>*</w:t>
      </w:r>
      <w:r>
        <w:rPr>
          <w:rFonts w:ascii="Times New Roman" w:eastAsia="Calibri" w:hAnsi="Times New Roman" w:cs="Times New Roman"/>
          <w:color w:val="000000"/>
          <w:sz w:val="16"/>
          <w:szCs w:val="16"/>
          <w:lang w:val="en-US"/>
        </w:rPr>
        <w:t xml:space="preserve">* </w:t>
      </w:r>
      <w:r w:rsidRPr="0006563D">
        <w:rPr>
          <w:rFonts w:ascii="Times New Roman" w:eastAsia="Calibri" w:hAnsi="Times New Roman" w:cs="Times New Roman"/>
          <w:color w:val="000000"/>
          <w:sz w:val="16"/>
          <w:szCs w:val="16"/>
          <w:lang w:val="ru-RU"/>
        </w:rPr>
        <w:t xml:space="preserve">Намалението на прогнозните целеви стойности на индикатора „Нарастване потенциала на АТЕ за ефективно и ефикасно планиране, управление и използване на ресурсите за устойчиво местно развитие“ се дължи на изключително негативното отражение на пандемията от COVID-19 върху бюджетите на общините (като административно-териториални единици - АТЕ) към началото на 2021 г., като загубите от намалените собствени приходи от местни данъци и такси се допълват от извънредни бюджетни разходи за непосредствени мерки за опазване здравето на населението – разкриване на легла за пациенти с COVID-19 в общински болници; доставка на храни и медикаменти по домовете на всички уязвими групи; доставка на топъл обяд и хранителни пакети; икономически мерки в подкрепа на местния бизнес (освобождаване </w:t>
      </w:r>
      <w:r w:rsidRPr="0006563D">
        <w:rPr>
          <w:rFonts w:ascii="Times New Roman" w:eastAsia="Calibri" w:hAnsi="Times New Roman" w:cs="Times New Roman"/>
          <w:color w:val="000000"/>
          <w:sz w:val="16"/>
          <w:szCs w:val="16"/>
          <w:lang w:val="ru-RU"/>
        </w:rPr>
        <w:lastRenderedPageBreak/>
        <w:t>от общински такси и наеми) и много други. Очаква се периодът на социално-икономическо възстановяване на общините в условията на все още продължаваща пандемична криза, както и след нейното затихване да продължи до 2-3 години, което ще окаже отрицателно влияние върху показателите за финансова самостоятелност и инвестиционна активност на общините. Това води до съответното прогнозно намаление на стойността на използвания индикатор с около 0,5 до 0,3 процентни пункта спрямо предкризисните нива.</w:t>
      </w:r>
    </w:p>
    <w:p w:rsidR="00757C4B" w:rsidRPr="002362A8" w:rsidRDefault="00757C4B" w:rsidP="00A10F5E">
      <w:pPr>
        <w:spacing w:after="0" w:line="240" w:lineRule="auto"/>
        <w:contextualSpacing/>
        <w:jc w:val="both"/>
        <w:rPr>
          <w:rFonts w:ascii="Times New Roman" w:eastAsia="Calibri" w:hAnsi="Times New Roman" w:cs="Times New Roman"/>
          <w:color w:val="000000"/>
          <w:sz w:val="16"/>
          <w:szCs w:val="16"/>
          <w:lang w:val="ru-RU"/>
        </w:rPr>
      </w:pPr>
    </w:p>
    <w:p w:rsidR="003C1CBE" w:rsidRDefault="009A0A4F" w:rsidP="00A10F5E">
      <w:pPr>
        <w:pStyle w:val="ListParagraph"/>
        <w:numPr>
          <w:ilvl w:val="0"/>
          <w:numId w:val="2"/>
        </w:numPr>
        <w:tabs>
          <w:tab w:val="left" w:pos="709"/>
        </w:tabs>
        <w:spacing w:after="0" w:line="240" w:lineRule="auto"/>
        <w:ind w:hanging="720"/>
        <w:jc w:val="both"/>
        <w:rPr>
          <w:rFonts w:ascii="Times New Roman" w:hAnsi="Times New Roman" w:cs="Times New Roman"/>
          <w:b/>
          <w:i/>
          <w:color w:val="0000CC"/>
        </w:rPr>
      </w:pPr>
      <w:r w:rsidRPr="0025354B">
        <w:rPr>
          <w:rFonts w:ascii="Times New Roman" w:hAnsi="Times New Roman" w:cs="Times New Roman"/>
          <w:b/>
          <w:i/>
          <w:color w:val="0000CC"/>
        </w:rPr>
        <w:t>К</w:t>
      </w:r>
      <w:r w:rsidR="004718D8" w:rsidRPr="0025354B">
        <w:rPr>
          <w:rFonts w:ascii="Times New Roman" w:hAnsi="Times New Roman" w:cs="Times New Roman"/>
          <w:b/>
          <w:i/>
          <w:color w:val="0000CC"/>
        </w:rPr>
        <w:t xml:space="preserve">ратко описание и мотиви за </w:t>
      </w:r>
      <w:r w:rsidR="000A695A" w:rsidRPr="0025354B">
        <w:rPr>
          <w:rFonts w:ascii="Times New Roman" w:hAnsi="Times New Roman" w:cs="Times New Roman"/>
          <w:b/>
          <w:i/>
          <w:color w:val="0000CC"/>
        </w:rPr>
        <w:t>избора</w:t>
      </w:r>
      <w:r w:rsidR="004718D8" w:rsidRPr="0025354B">
        <w:rPr>
          <w:rFonts w:ascii="Times New Roman" w:hAnsi="Times New Roman" w:cs="Times New Roman"/>
          <w:b/>
          <w:i/>
          <w:color w:val="0000CC"/>
        </w:rPr>
        <w:t xml:space="preserve"> </w:t>
      </w:r>
      <w:r w:rsidRPr="0025354B">
        <w:rPr>
          <w:rFonts w:ascii="Times New Roman" w:hAnsi="Times New Roman" w:cs="Times New Roman"/>
          <w:b/>
          <w:i/>
          <w:color w:val="0000CC"/>
        </w:rPr>
        <w:t>на посочените индикатори.</w:t>
      </w:r>
    </w:p>
    <w:p w:rsidR="00CB1305" w:rsidRPr="00CB1305" w:rsidRDefault="00CB1305" w:rsidP="00A10F5E">
      <w:pPr>
        <w:spacing w:after="0" w:line="240" w:lineRule="auto"/>
        <w:ind w:firstLine="567"/>
        <w:jc w:val="both"/>
        <w:rPr>
          <w:rFonts w:ascii="Times New Roman" w:eastAsia="Calibri" w:hAnsi="Times New Roman" w:cs="Times New Roman"/>
        </w:rPr>
      </w:pPr>
      <w:r w:rsidRPr="00CB1305">
        <w:rPr>
          <w:rFonts w:ascii="Times New Roman" w:eastAsia="Calibri" w:hAnsi="Times New Roman" w:cs="Times New Roman"/>
        </w:rPr>
        <w:t xml:space="preserve">МРРБ е определено за водещо ведомство по разработването и изпълнението на  Приоритет 9 „Местно развитие“ от </w:t>
      </w:r>
      <w:r w:rsidRPr="00CB1305">
        <w:rPr>
          <w:rFonts w:ascii="Times New Roman" w:eastAsia="Times New Roman" w:hAnsi="Times New Roman" w:cs="Times New Roman"/>
          <w:lang w:eastAsia="bg-BG"/>
        </w:rPr>
        <w:t xml:space="preserve"> </w:t>
      </w:r>
      <w:r w:rsidRPr="00CB1305">
        <w:rPr>
          <w:rFonts w:ascii="Times New Roman" w:eastAsia="Calibri" w:hAnsi="Times New Roman" w:cs="Times New Roman"/>
        </w:rPr>
        <w:t>Националната програма за развитие, съгласно приложение №</w:t>
      </w:r>
      <w:r w:rsidR="00AC76A7">
        <w:rPr>
          <w:rFonts w:ascii="Times New Roman" w:eastAsia="Calibri" w:hAnsi="Times New Roman" w:cs="Times New Roman"/>
        </w:rPr>
        <w:t xml:space="preserve"> 2 на </w:t>
      </w:r>
      <w:r w:rsidRPr="00CB1305">
        <w:rPr>
          <w:rFonts w:ascii="Times New Roman" w:eastAsia="Calibri" w:hAnsi="Times New Roman" w:cs="Times New Roman"/>
        </w:rPr>
        <w:t>Решение № 33 на Министерския съвет от 20.01.2020 г. Ключовите индикатори и целеви стойности, които се изпълняват в областта на политиката отговарят на целта на приоритета, а именно оползотворяването на идентифицирания местен потенциал за развитие, както и адресиране на местните проблеми и предизвикателства и не е необходимо да бъдат актуализирани.</w:t>
      </w:r>
    </w:p>
    <w:p w:rsidR="00CB1305" w:rsidRDefault="00A14899" w:rsidP="00A10F5E">
      <w:pPr>
        <w:pStyle w:val="ListParagraph"/>
        <w:numPr>
          <w:ilvl w:val="0"/>
          <w:numId w:val="2"/>
        </w:numPr>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
          <w:i/>
        </w:rPr>
        <w:t>Индикатор</w:t>
      </w:r>
      <w:r w:rsidR="00CB1305" w:rsidRPr="009057FC">
        <w:rPr>
          <w:rFonts w:ascii="Times New Roman" w:eastAsia="Calibri" w:hAnsi="Times New Roman" w:cs="Times New Roman"/>
          <w:b/>
          <w:i/>
        </w:rPr>
        <w:t xml:space="preserve"> </w:t>
      </w:r>
      <w:r w:rsidR="007222CD" w:rsidRPr="009057FC">
        <w:rPr>
          <w:rFonts w:ascii="Times New Roman" w:eastAsia="Calibri" w:hAnsi="Times New Roman" w:cs="Times New Roman"/>
          <w:b/>
          <w:i/>
        </w:rPr>
        <w:t>„</w:t>
      </w:r>
      <w:r w:rsidR="007222CD" w:rsidRPr="009057FC">
        <w:rPr>
          <w:rFonts w:ascii="Times New Roman" w:eastAsia="Times New Roman" w:hAnsi="Times New Roman" w:cs="Times New Roman"/>
          <w:b/>
          <w:i/>
          <w:lang w:eastAsia="bg-BG"/>
        </w:rPr>
        <w:t>Изпълнение на Пътна карта за нови подходи в регионалната политика</w:t>
      </w:r>
      <w:r w:rsidR="007222CD" w:rsidRPr="009057FC">
        <w:rPr>
          <w:rFonts w:ascii="Times New Roman" w:eastAsia="Times New Roman" w:hAnsi="Times New Roman" w:cs="Times New Roman"/>
          <w:b/>
          <w:i/>
          <w:lang w:val="en-US" w:eastAsia="bg-BG"/>
        </w:rPr>
        <w:t xml:space="preserve"> </w:t>
      </w:r>
      <w:r w:rsidR="007222CD" w:rsidRPr="009057FC">
        <w:rPr>
          <w:rFonts w:ascii="Times New Roman" w:eastAsia="Times New Roman" w:hAnsi="Times New Roman" w:cs="Times New Roman"/>
          <w:b/>
          <w:i/>
          <w:lang w:eastAsia="bg-BG"/>
        </w:rPr>
        <w:t>с цел създаване на условия за балансирано териториално развитие“</w:t>
      </w:r>
      <w:r w:rsidR="007222CD" w:rsidRPr="009057FC">
        <w:rPr>
          <w:rFonts w:ascii="Times New Roman" w:eastAsia="Calibri" w:hAnsi="Times New Roman" w:cs="Times New Roman"/>
        </w:rPr>
        <w:t xml:space="preserve"> </w:t>
      </w:r>
      <w:r w:rsidR="00CB1305" w:rsidRPr="009057FC">
        <w:rPr>
          <w:rFonts w:ascii="Times New Roman" w:eastAsia="Calibri" w:hAnsi="Times New Roman" w:cs="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CB1305" w:rsidRPr="009057FC">
        <w:rPr>
          <w:rFonts w:ascii="Times New Roman" w:eastAsia="Calibri" w:hAnsi="Times New Roman" w:cs="Times New Roman"/>
          <w:lang w:val="en-US"/>
        </w:rPr>
        <w:t xml:space="preserve"> </w:t>
      </w:r>
      <w:r w:rsidR="00CB1305" w:rsidRPr="009057FC">
        <w:rPr>
          <w:rFonts w:ascii="Times New Roman" w:eastAsia="Calibri" w:hAnsi="Times New Roman" w:cs="Times New Roman"/>
        </w:rPr>
        <w:t>Целта е към 2022 г. да се достигне 100% изпълнение. Предвижда се през 2022 г. да бъде разработена нова Пътна карта за реализиране на регионалната политика</w:t>
      </w:r>
      <w:r w:rsidR="00CB1305" w:rsidRPr="009057FC">
        <w:rPr>
          <w:rFonts w:ascii="Times New Roman" w:eastAsia="Calibri" w:hAnsi="Times New Roman" w:cs="Times New Roman"/>
          <w:lang w:val="en-US"/>
        </w:rPr>
        <w:t xml:space="preserve"> </w:t>
      </w:r>
      <w:r w:rsidR="00CB1305" w:rsidRPr="009057FC">
        <w:rPr>
          <w:rFonts w:ascii="Times New Roman" w:eastAsia="Calibri" w:hAnsi="Times New Roman" w:cs="Times New Roman"/>
        </w:rPr>
        <w:t>с цел създаване на условия за балансирано териториално развитие, чиет</w:t>
      </w:r>
      <w:r w:rsidR="00E62EF0">
        <w:rPr>
          <w:rFonts w:ascii="Times New Roman" w:eastAsia="Calibri" w:hAnsi="Times New Roman" w:cs="Times New Roman"/>
        </w:rPr>
        <w:t xml:space="preserve">о  изпълнение да стартира през </w:t>
      </w:r>
      <w:r w:rsidR="00CB1305" w:rsidRPr="009057FC">
        <w:rPr>
          <w:rFonts w:ascii="Times New Roman" w:eastAsia="Calibri" w:hAnsi="Times New Roman" w:cs="Times New Roman"/>
        </w:rPr>
        <w:t>2023 г.</w:t>
      </w:r>
      <w:r w:rsidR="00CB1305" w:rsidRPr="009057FC">
        <w:rPr>
          <w:rFonts w:ascii="Times New Roman" w:eastAsia="Calibri" w:hAnsi="Times New Roman" w:cs="Times New Roman"/>
          <w:lang w:val="en-US"/>
        </w:rPr>
        <w:t xml:space="preserve"> </w:t>
      </w:r>
      <w:r w:rsidR="00CB1305" w:rsidRPr="009057FC">
        <w:rPr>
          <w:rFonts w:ascii="Times New Roman" w:eastAsia="Calibri" w:hAnsi="Times New Roman" w:cs="Times New Roman"/>
        </w:rPr>
        <w:t>и до края на 2024 г. да бъдат изпълнени 30% от дейностите, които ще бъдат заложени в нея.</w:t>
      </w:r>
      <w:r w:rsidR="00FB568B" w:rsidRPr="009057FC">
        <w:rPr>
          <w:rFonts w:ascii="Times New Roman" w:eastAsia="Calibri" w:hAnsi="Times New Roman" w:cs="Times New Roman"/>
        </w:rPr>
        <w:t xml:space="preserve"> Индикаторът измерва и е насочен към изпълнението на </w:t>
      </w:r>
      <w:r w:rsidR="00271F21">
        <w:rPr>
          <w:rFonts w:ascii="Times New Roman" w:eastAsia="Calibri" w:hAnsi="Times New Roman" w:cs="Times New Roman"/>
        </w:rPr>
        <w:t xml:space="preserve">всички </w:t>
      </w:r>
      <w:r w:rsidR="00FB568B" w:rsidRPr="009057FC">
        <w:rPr>
          <w:rFonts w:ascii="Times New Roman" w:eastAsia="Calibri" w:hAnsi="Times New Roman" w:cs="Times New Roman"/>
        </w:rPr>
        <w:t>заложени стратегически цели по политиката.</w:t>
      </w:r>
    </w:p>
    <w:p w:rsidR="00CB1305" w:rsidRPr="009057FC" w:rsidRDefault="00A14899" w:rsidP="00A10F5E">
      <w:pPr>
        <w:pStyle w:val="ListParagraph"/>
        <w:numPr>
          <w:ilvl w:val="0"/>
          <w:numId w:val="2"/>
        </w:numPr>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
          <w:i/>
        </w:rPr>
        <w:t>Индикатор</w:t>
      </w:r>
      <w:r w:rsidR="00CB1305" w:rsidRPr="009057FC">
        <w:rPr>
          <w:rFonts w:ascii="Times New Roman" w:eastAsia="Calibri" w:hAnsi="Times New Roman" w:cs="Times New Roman"/>
          <w:b/>
          <w:i/>
        </w:rPr>
        <w:t xml:space="preserve"> </w:t>
      </w:r>
      <w:r w:rsidR="007222CD" w:rsidRPr="009057FC">
        <w:rPr>
          <w:rFonts w:ascii="Times New Roman" w:eastAsia="Calibri" w:hAnsi="Times New Roman" w:cs="Times New Roman"/>
          <w:b/>
          <w:i/>
        </w:rPr>
        <w:t>„</w:t>
      </w:r>
      <w:r w:rsidR="007222CD" w:rsidRPr="009057FC">
        <w:rPr>
          <w:rFonts w:ascii="Times New Roman" w:eastAsia="Times New Roman" w:hAnsi="Times New Roman" w:cs="Times New Roman"/>
          <w:b/>
          <w:i/>
          <w:lang w:eastAsia="bg-BG"/>
        </w:rPr>
        <w:t>Намаляване на дела на мигриралото население“</w:t>
      </w:r>
      <w:r w:rsidR="007222CD" w:rsidRPr="009057FC">
        <w:rPr>
          <w:rFonts w:ascii="Times New Roman" w:eastAsia="Times New Roman" w:hAnsi="Times New Roman" w:cs="Times New Roman"/>
          <w:sz w:val="20"/>
          <w:szCs w:val="20"/>
          <w:lang w:eastAsia="bg-BG"/>
        </w:rPr>
        <w:t xml:space="preserve"> </w:t>
      </w:r>
      <w:r w:rsidR="00CB1305" w:rsidRPr="009057FC">
        <w:rPr>
          <w:rFonts w:ascii="Times New Roman" w:eastAsia="Calibri" w:hAnsi="Times New Roman" w:cs="Times New Roman"/>
        </w:rPr>
        <w:t>е свързан с изпълнението на ОПРР 2014-2020 г. Една от основните цели на ОПРР 2014-2020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г.,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31.12.2019 г. общия брой на населението на страната е 6 951 482 души, броя на мигриралото население вътре в страната е 168 120 души (изселени), а делът на мигриралото население (вътрешна миграция) е 2,04%.</w:t>
      </w:r>
      <w:r w:rsidR="00FB568B" w:rsidRPr="009057FC">
        <w:rPr>
          <w:rFonts w:ascii="Times New Roman" w:eastAsia="Calibri" w:hAnsi="Times New Roman" w:cs="Times New Roman"/>
        </w:rPr>
        <w:t xml:space="preserve"> Индикаторът измерва и е насочен към изпълнението на </w:t>
      </w:r>
      <w:r w:rsidR="00271F21">
        <w:rPr>
          <w:rFonts w:ascii="Times New Roman" w:eastAsia="Calibri" w:hAnsi="Times New Roman" w:cs="Times New Roman"/>
        </w:rPr>
        <w:t>всички заложени</w:t>
      </w:r>
      <w:r w:rsidR="00FB568B" w:rsidRPr="009057FC">
        <w:rPr>
          <w:rFonts w:ascii="Times New Roman" w:eastAsia="Calibri" w:hAnsi="Times New Roman" w:cs="Times New Roman"/>
        </w:rPr>
        <w:t xml:space="preserve"> стратегически цели по политиката.</w:t>
      </w:r>
    </w:p>
    <w:p w:rsidR="00FB568B" w:rsidRDefault="00A14899" w:rsidP="00ED6FBD">
      <w:pPr>
        <w:numPr>
          <w:ilvl w:val="0"/>
          <w:numId w:val="33"/>
        </w:numPr>
        <w:spacing w:after="0" w:line="240" w:lineRule="auto"/>
        <w:ind w:left="0" w:firstLine="567"/>
        <w:jc w:val="both"/>
        <w:rPr>
          <w:rFonts w:ascii="Times New Roman" w:hAnsi="Times New Roman" w:cs="Times New Roman"/>
        </w:rPr>
      </w:pPr>
      <w:r>
        <w:rPr>
          <w:rFonts w:ascii="Times New Roman" w:hAnsi="Times New Roman" w:cs="Times New Roman"/>
          <w:b/>
          <w:i/>
        </w:rPr>
        <w:t>Индикатор</w:t>
      </w:r>
      <w:r w:rsidR="007222CD" w:rsidRPr="00FB568B">
        <w:rPr>
          <w:rFonts w:ascii="Times New Roman" w:hAnsi="Times New Roman" w:cs="Times New Roman"/>
          <w:b/>
          <w:i/>
        </w:rPr>
        <w:t xml:space="preserve"> „Брой реконструирани/възстановени културни и исторически обекти“</w:t>
      </w:r>
      <w:r w:rsidR="00FB568B" w:rsidRPr="00FB568B">
        <w:rPr>
          <w:rFonts w:ascii="Times New Roman" w:hAnsi="Times New Roman" w:cs="Times New Roman"/>
          <w:b/>
          <w:i/>
        </w:rPr>
        <w:t>, „Население, възползващо се от мерки за защита от наводнения или горски пожари“, „Общ брой младежи, включени в схеми за младежко предприемачество и инициативи“ и „Брой участници в инициативи за обучение и квалификация“</w:t>
      </w:r>
      <w:r w:rsidR="00FB568B">
        <w:rPr>
          <w:rFonts w:ascii="Times New Roman" w:hAnsi="Times New Roman" w:cs="Times New Roman"/>
          <w:b/>
          <w:i/>
        </w:rPr>
        <w:t xml:space="preserve"> </w:t>
      </w:r>
      <w:r w:rsidR="00FB568B">
        <w:rPr>
          <w:rFonts w:ascii="Times New Roman" w:hAnsi="Times New Roman" w:cs="Times New Roman"/>
        </w:rPr>
        <w:t>измерват стратегическа цел „</w:t>
      </w:r>
      <w:r w:rsidR="00FB568B" w:rsidRPr="00211B4A">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FB568B">
        <w:rPr>
          <w:rFonts w:ascii="Times New Roman" w:hAnsi="Times New Roman" w:cs="Times New Roman"/>
        </w:rPr>
        <w:t>ст и устойчиво градско развитие“.</w:t>
      </w:r>
    </w:p>
    <w:p w:rsidR="0006563D" w:rsidRPr="00D6230D" w:rsidRDefault="00A14899" w:rsidP="0006563D">
      <w:pPr>
        <w:pStyle w:val="ListParagraph"/>
        <w:numPr>
          <w:ilvl w:val="0"/>
          <w:numId w:val="33"/>
        </w:numPr>
        <w:tabs>
          <w:tab w:val="left" w:pos="709"/>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
          <w:i/>
        </w:rPr>
        <w:t>Индикатор</w:t>
      </w:r>
      <w:r w:rsidR="0006563D" w:rsidRPr="00D6230D">
        <w:rPr>
          <w:rFonts w:ascii="Times New Roman" w:eastAsia="Calibri" w:hAnsi="Times New Roman" w:cs="Times New Roman"/>
          <w:b/>
          <w:i/>
        </w:rPr>
        <w:t xml:space="preserve"> „Нарастване потенциала на АТЕ за ефективно и ефикасно планиране, управление и използване на ресурсите за устойчиво местно развитие“</w:t>
      </w:r>
      <w:r w:rsidR="0006563D">
        <w:rPr>
          <w:rFonts w:ascii="Times New Roman" w:eastAsia="Calibri" w:hAnsi="Times New Roman" w:cs="Times New Roman"/>
        </w:rPr>
        <w:t xml:space="preserve"> и </w:t>
      </w:r>
      <w:r w:rsidR="0006563D" w:rsidRPr="00D6230D">
        <w:rPr>
          <w:rFonts w:ascii="Times New Roman" w:eastAsia="Calibri" w:hAnsi="Times New Roman" w:cs="Times New Roman"/>
          <w:b/>
          <w:i/>
        </w:rPr>
        <w:t>„Обезпечаване на територията на страната с общи устройствени планове“</w:t>
      </w:r>
      <w:r w:rsidR="0006563D">
        <w:rPr>
          <w:rFonts w:ascii="Times New Roman" w:eastAsia="Calibri" w:hAnsi="Times New Roman" w:cs="Times New Roman"/>
        </w:rPr>
        <w:t xml:space="preserve"> измерват стратегическа цел „</w:t>
      </w:r>
      <w:r w:rsidR="0006563D" w:rsidRPr="00D6230D">
        <w:rPr>
          <w:rFonts w:ascii="Times New Roman" w:eastAsia="Calibri" w:hAnsi="Times New Roman" w:cs="Times New Roman"/>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w:t>
      </w:r>
      <w:r w:rsidR="0006563D">
        <w:rPr>
          <w:rFonts w:ascii="Times New Roman" w:eastAsia="Calibri" w:hAnsi="Times New Roman" w:cs="Times New Roman"/>
        </w:rPr>
        <w:t>лтурно-историческото наследство“</w:t>
      </w:r>
      <w:r w:rsidR="00757C4B">
        <w:rPr>
          <w:rFonts w:ascii="Times New Roman" w:eastAsia="Calibri" w:hAnsi="Times New Roman" w:cs="Times New Roman"/>
        </w:rPr>
        <w:t>.</w:t>
      </w:r>
    </w:p>
    <w:p w:rsidR="008E400C" w:rsidRDefault="008E400C" w:rsidP="00A10F5E">
      <w:pPr>
        <w:spacing w:after="0" w:line="240" w:lineRule="auto"/>
        <w:ind w:firstLine="567"/>
        <w:jc w:val="both"/>
        <w:rPr>
          <w:rFonts w:ascii="Times New Roman" w:eastAsia="Calibri" w:hAnsi="Times New Roman" w:cs="Times New Roman"/>
          <w:b/>
          <w:i/>
          <w:color w:val="0000CC"/>
        </w:rPr>
      </w:pPr>
    </w:p>
    <w:p w:rsidR="00A10F5E" w:rsidRDefault="006B2804" w:rsidP="00A10F5E">
      <w:pPr>
        <w:spacing w:after="0" w:line="240" w:lineRule="auto"/>
        <w:ind w:firstLine="567"/>
        <w:jc w:val="both"/>
        <w:rPr>
          <w:rFonts w:ascii="Times New Roman" w:eastAsia="Calibri" w:hAnsi="Times New Roman" w:cs="Times New Roman"/>
          <w:b/>
          <w:i/>
          <w:color w:val="0000CC"/>
        </w:rPr>
      </w:pPr>
      <w:r w:rsidRPr="0025354B">
        <w:rPr>
          <w:rFonts w:ascii="Times New Roman" w:eastAsia="Calibri" w:hAnsi="Times New Roman" w:cs="Times New Roman"/>
          <w:b/>
          <w:i/>
          <w:color w:val="0000CC"/>
        </w:rPr>
        <w:t xml:space="preserve">2100.02.00 </w:t>
      </w:r>
      <w:r w:rsidR="00740960" w:rsidRPr="0025354B">
        <w:rPr>
          <w:rFonts w:ascii="Times New Roman" w:eastAsia="Calibri" w:hAnsi="Times New Roman" w:cs="Times New Roman"/>
          <w:b/>
          <w:i/>
          <w:color w:val="0000CC"/>
        </w:rPr>
        <w:t>„</w:t>
      </w:r>
      <w:r w:rsidRPr="0025354B">
        <w:rPr>
          <w:rFonts w:ascii="Times New Roman" w:eastAsia="Calibri" w:hAnsi="Times New Roman" w:cs="Times New Roman"/>
          <w:b/>
          <w:i/>
          <w:color w:val="0000CC"/>
        </w:rPr>
        <w:t xml:space="preserve">ПОЛИТИКА ЗА </w:t>
      </w:r>
      <w:r w:rsidR="00567CD4">
        <w:rPr>
          <w:rFonts w:ascii="Times New Roman" w:eastAsia="Calibri" w:hAnsi="Times New Roman" w:cs="Times New Roman"/>
          <w:b/>
          <w:i/>
          <w:color w:val="0000CC"/>
        </w:rPr>
        <w:t xml:space="preserve">ПОДОБРЯВАНЕ НА ИНВЕСТИЦИОННИЯ ПРОЦЕС, </w:t>
      </w:r>
      <w:r w:rsidRPr="0025354B">
        <w:rPr>
          <w:rFonts w:ascii="Times New Roman" w:eastAsia="Calibri" w:hAnsi="Times New Roman" w:cs="Times New Roman"/>
          <w:b/>
          <w:i/>
          <w:color w:val="0000CC"/>
        </w:rPr>
        <w:t>ПОДДЪРЖАНЕ,</w:t>
      </w:r>
      <w:r w:rsidRPr="0025354B">
        <w:rPr>
          <w:rFonts w:ascii="Times New Roman" w:eastAsia="Calibri" w:hAnsi="Times New Roman" w:cs="Times New Roman"/>
          <w:b/>
          <w:i/>
          <w:color w:val="0000CC"/>
          <w:lang w:val="en-US"/>
        </w:rPr>
        <w:t xml:space="preserve"> </w:t>
      </w:r>
      <w:r w:rsidRPr="0025354B">
        <w:rPr>
          <w:rFonts w:ascii="Times New Roman" w:eastAsia="Calibri" w:hAnsi="Times New Roman" w:cs="Times New Roman"/>
          <w:b/>
          <w:i/>
          <w:color w:val="0000CC"/>
        </w:rPr>
        <w:t>МОДЕРНИЗАЦИЯ И ИЗГРАЖДАНЕ НА ТЕХНИЧЕСКАТА ИНФРАСТРУКТУРА</w:t>
      </w:r>
      <w:r w:rsidR="00567CD4">
        <w:rPr>
          <w:rFonts w:ascii="Times New Roman" w:eastAsia="Calibri" w:hAnsi="Times New Roman" w:cs="Times New Roman"/>
          <w:b/>
          <w:i/>
          <w:color w:val="0000CC"/>
        </w:rPr>
        <w:t>“</w:t>
      </w:r>
    </w:p>
    <w:p w:rsidR="00567CD4" w:rsidRPr="0025354B" w:rsidRDefault="00567CD4" w:rsidP="00A10F5E">
      <w:pPr>
        <w:spacing w:after="0" w:line="240" w:lineRule="auto"/>
        <w:ind w:firstLine="567"/>
        <w:jc w:val="both"/>
        <w:rPr>
          <w:rFonts w:ascii="Times New Roman" w:eastAsia="Calibri" w:hAnsi="Times New Roman" w:cs="Times New Roman"/>
          <w:b/>
          <w:i/>
          <w:color w:val="0000CC"/>
        </w:rPr>
      </w:pPr>
    </w:p>
    <w:p w:rsidR="006B2804" w:rsidRPr="0025354B" w:rsidRDefault="006B2804" w:rsidP="00A10F5E">
      <w:pPr>
        <w:pStyle w:val="ListParagraph"/>
        <w:numPr>
          <w:ilvl w:val="0"/>
          <w:numId w:val="1"/>
        </w:numPr>
        <w:spacing w:after="0" w:line="240" w:lineRule="auto"/>
        <w:ind w:firstLine="65"/>
        <w:jc w:val="both"/>
        <w:rPr>
          <w:rFonts w:ascii="Times New Roman" w:hAnsi="Times New Roman" w:cs="Times New Roman"/>
          <w:b/>
          <w:i/>
          <w:color w:val="0000CC"/>
        </w:rPr>
      </w:pPr>
      <w:r w:rsidRPr="0025354B">
        <w:rPr>
          <w:rFonts w:ascii="Times New Roman" w:hAnsi="Times New Roman" w:cs="Times New Roman"/>
          <w:b/>
          <w:i/>
          <w:color w:val="0000CC"/>
        </w:rPr>
        <w:t>Кратко описание на обхвата на областта на политиката, за която ПРБ отговаря</w:t>
      </w:r>
    </w:p>
    <w:p w:rsidR="00ED46CF" w:rsidRDefault="00ED46CF" w:rsidP="00A10F5E">
      <w:pPr>
        <w:pStyle w:val="ListParagraph"/>
        <w:tabs>
          <w:tab w:val="left" w:pos="851"/>
        </w:tabs>
        <w:spacing w:after="0" w:line="240" w:lineRule="auto"/>
        <w:ind w:left="0" w:firstLine="567"/>
        <w:jc w:val="both"/>
        <w:rPr>
          <w:rFonts w:ascii="Times New Roman" w:hAnsi="Times New Roman" w:cs="Times New Roman"/>
          <w:color w:val="000000"/>
          <w:lang w:val="en-US"/>
        </w:rPr>
      </w:pP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Визията за развитието на изпълняваната от АПИ политика е тясно обвързана с водещите приоритети, посочени в регламент (ЕС) №1315/2013 на Европейския парламент и на съвета на от 11 декември 2013 година, относно насоките на Съюза за развитието на трансевропейската пътна мрежа и за отмяна на Решение № 661/2010/ЕС, последно обновен с Делегиран регламент (ЕС) 2019/254 на Комисията от 9 Ноември 2019 г., са описани и зададени общите срокове и критерии за развитие на основната и широкообхватна (разширената) трансевропейска транспортна мрежа.</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xml:space="preserve">Изпълняваната от АПИ политика, описана в Споразумение за съвместно управление на Република България в период 2021 г. – 2025 г., е разработена и хармонизирана съгласно Приложение № 4: Транспорт и Приложение № 12: Регионално развитие, като ще започне изпълнението по конкретните мерки и основни приоритети.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xml:space="preserve">Завършването на АМ „Струма“,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ED46CF">
        <w:rPr>
          <w:rFonts w:ascii="Times New Roman" w:hAnsi="Times New Roman" w:cs="Times New Roman"/>
          <w:color w:val="000000"/>
          <w:lang w:val="en-US"/>
        </w:rPr>
        <w:t>II-</w:t>
      </w:r>
      <w:r w:rsidRPr="00ED46CF">
        <w:rPr>
          <w:rFonts w:ascii="Times New Roman" w:hAnsi="Times New Roman" w:cs="Times New Roman"/>
          <w:color w:val="000000"/>
        </w:rPr>
        <w:t xml:space="preserve">86 Асеновград – Смолян в три участъка.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b/>
          <w:color w:val="000000"/>
        </w:rPr>
      </w:pPr>
      <w:r w:rsidRPr="00ED46CF">
        <w:rPr>
          <w:rFonts w:ascii="Times New Roman" w:hAnsi="Times New Roman" w:cs="Times New Roman"/>
          <w:b/>
          <w:color w:val="000000"/>
        </w:rPr>
        <w:t xml:space="preserve">Развитие при изграждането по вертикалните направления север-юг: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Русе-Велико Търново – граница Република Гърция и Турция по направлението на основната Транс-европейска пътна мрежа;</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планина.</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xml:space="preserve">- Подобряване на пресичането през Стара планина по маршрута Монтана – София чрез изграждане на тунел под прохода Петрохан.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b/>
          <w:color w:val="000000"/>
        </w:rPr>
      </w:pPr>
      <w:r w:rsidRPr="00ED46CF">
        <w:rPr>
          <w:rFonts w:ascii="Times New Roman" w:hAnsi="Times New Roman" w:cs="Times New Roman"/>
          <w:b/>
          <w:color w:val="000000"/>
        </w:rPr>
        <w:lastRenderedPageBreak/>
        <w:t>Доизграждането на магистралните и скоростни трасета ще допринесе до затваряне на автомагистралния пръстен на Р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 </w:t>
      </w:r>
      <w:r w:rsidRPr="00ED46CF">
        <w:rPr>
          <w:rFonts w:ascii="Times New Roman" w:hAnsi="Times New Roman" w:cs="Times New Roman"/>
          <w:color w:val="000000"/>
        </w:rPr>
        <w:t>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Развитие при проектирането и изграждането на обходни/околовръстни пътища в</w:t>
      </w:r>
      <w:r w:rsidRPr="00ED46CF">
        <w:rPr>
          <w:rFonts w:ascii="Times New Roman" w:hAnsi="Times New Roman" w:cs="Times New Roman"/>
          <w:b/>
          <w:color w:val="000000"/>
        </w:rPr>
        <w:t xml:space="preserve"> </w:t>
      </w:r>
      <w:r w:rsidRPr="00ED46CF">
        <w:rPr>
          <w:rFonts w:ascii="Times New Roman" w:hAnsi="Times New Roman" w:cs="Times New Roman"/>
          <w:color w:val="000000"/>
        </w:rPr>
        <w:t xml:space="preserve">градовете  София, Пазарджик, Пловдив, Плевен, Чепеларе, Провадия, Бургас, Петрич, Плевен, Павликени.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 xml:space="preserve">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rsidR="00ED46CF" w:rsidRPr="00ED46CF" w:rsidRDefault="00ED46CF" w:rsidP="00ED46CF">
      <w:pPr>
        <w:pStyle w:val="ListParagraph"/>
        <w:tabs>
          <w:tab w:val="left" w:pos="851"/>
        </w:tabs>
        <w:spacing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 През 2022 г. се предвижда актуализиране на размера на тол таксите и определяне на размер за тол такси за пътища II – ри клас.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rsidR="001126A5" w:rsidRDefault="001126A5" w:rsidP="00A10F5E">
      <w:pPr>
        <w:pStyle w:val="ListParagraph"/>
        <w:tabs>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lang w:val="en-US"/>
        </w:rPr>
        <w:t xml:space="preserve">Политиката е тясно обвързана </w:t>
      </w:r>
      <w:r w:rsidR="00A859C0">
        <w:rPr>
          <w:rFonts w:ascii="Times New Roman" w:hAnsi="Times New Roman" w:cs="Times New Roman"/>
          <w:color w:val="000000"/>
        </w:rPr>
        <w:t xml:space="preserve">и </w:t>
      </w:r>
      <w:r w:rsidRPr="001126A5">
        <w:rPr>
          <w:rFonts w:ascii="Times New Roman" w:hAnsi="Times New Roman" w:cs="Times New Roman"/>
          <w:color w:val="000000"/>
          <w:lang w:val="en-US"/>
        </w:rPr>
        <w:t xml:space="preserve">с мерките и </w:t>
      </w:r>
      <w:r w:rsidR="00A859C0">
        <w:rPr>
          <w:rFonts w:ascii="Times New Roman" w:hAnsi="Times New Roman" w:cs="Times New Roman"/>
          <w:color w:val="000000"/>
          <w:lang w:val="en-US"/>
        </w:rPr>
        <w:t xml:space="preserve">приоритетите на министерството, </w:t>
      </w:r>
      <w:r w:rsidRPr="001126A5">
        <w:rPr>
          <w:rFonts w:ascii="Times New Roman" w:hAnsi="Times New Roman" w:cs="Times New Roman"/>
          <w:color w:val="000000"/>
          <w:lang w:val="en-US"/>
        </w:rPr>
        <w:t>в обл</w:t>
      </w:r>
      <w:r w:rsidR="00A859C0">
        <w:rPr>
          <w:rFonts w:ascii="Times New Roman" w:hAnsi="Times New Roman" w:cs="Times New Roman"/>
          <w:color w:val="000000"/>
          <w:lang w:val="en-US"/>
        </w:rPr>
        <w:t xml:space="preserve">астта на регионалното развитие, </w:t>
      </w:r>
      <w:r w:rsidRPr="001126A5">
        <w:rPr>
          <w:rFonts w:ascii="Times New Roman" w:hAnsi="Times New Roman" w:cs="Times New Roman"/>
          <w:color w:val="000000"/>
          <w:lang w:val="en-US"/>
        </w:rPr>
        <w:t>водния сектор и в областта на реализацията на дейностите по благоустройството и геозащитата.</w:t>
      </w:r>
      <w:r w:rsidRPr="001126A5">
        <w:rPr>
          <w:rFonts w:ascii="Times New Roman" w:eastAsia="Times New Roman" w:hAnsi="Times New Roman" w:cs="Times New Roman"/>
          <w:lang w:eastAsia="bg-BG"/>
        </w:rPr>
        <w:t xml:space="preserve"> </w:t>
      </w:r>
      <w:r w:rsidRPr="001126A5">
        <w:rPr>
          <w:rFonts w:ascii="Times New Roman" w:hAnsi="Times New Roman" w:cs="Times New Roman"/>
          <w:color w:val="000000"/>
        </w:rPr>
        <w:t>Визията за развитие на политиката е свързана с дейности за управление, поддържане и изграждане на „ВиК“ инфраструктурата, с цел осигуряване на съответствие с директивите на Европейския съюз в областта на водите и устойчивост при предоставяне на „ВиК“ услуги</w:t>
      </w:r>
      <w:r>
        <w:rPr>
          <w:rFonts w:ascii="Times New Roman" w:hAnsi="Times New Roman" w:cs="Times New Roman"/>
          <w:color w:val="000000"/>
        </w:rPr>
        <w:t>те, както и о</w:t>
      </w:r>
      <w:r w:rsidRPr="001126A5">
        <w:rPr>
          <w:rFonts w:ascii="Times New Roman" w:hAnsi="Times New Roman" w:cs="Times New Roman"/>
          <w:color w:val="000000"/>
        </w:rPr>
        <w:t>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rsidR="00567CD4" w:rsidRPr="00567CD4" w:rsidRDefault="00567CD4" w:rsidP="00567CD4">
      <w:pPr>
        <w:pStyle w:val="ListParagraph"/>
        <w:spacing w:after="0" w:line="240" w:lineRule="auto"/>
        <w:ind w:left="0" w:firstLine="567"/>
        <w:jc w:val="both"/>
        <w:rPr>
          <w:rFonts w:ascii="Times New Roman" w:hAnsi="Times New Roman" w:cs="Times New Roman"/>
          <w:color w:val="000000"/>
        </w:rPr>
      </w:pPr>
      <w:r w:rsidRPr="00567CD4">
        <w:rPr>
          <w:rFonts w:ascii="Times New Roman" w:hAnsi="Times New Roman" w:cs="Times New Roman"/>
          <w:color w:val="000000"/>
        </w:rPr>
        <w:t xml:space="preserve">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w:t>
      </w:r>
      <w:r w:rsidRPr="00567CD4">
        <w:rPr>
          <w:rFonts w:ascii="Times New Roman" w:hAnsi="Times New Roman" w:cs="Times New Roman"/>
          <w:color w:val="000000"/>
        </w:rPr>
        <w:lastRenderedPageBreak/>
        <w:t>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567CD4" w:rsidRPr="00567CD4" w:rsidRDefault="00567CD4" w:rsidP="00567CD4">
      <w:pPr>
        <w:pStyle w:val="ListParagraph"/>
        <w:spacing w:after="0" w:line="240" w:lineRule="auto"/>
        <w:ind w:left="0" w:firstLine="567"/>
        <w:jc w:val="both"/>
        <w:rPr>
          <w:rFonts w:ascii="Times New Roman" w:hAnsi="Times New Roman" w:cs="Times New Roman"/>
          <w:color w:val="000000"/>
        </w:rPr>
      </w:pPr>
      <w:r w:rsidRPr="00567CD4">
        <w:rPr>
          <w:rFonts w:ascii="Times New Roman" w:hAnsi="Times New Roman" w:cs="Times New Roman"/>
          <w:color w:val="000000"/>
        </w:rPr>
        <w:t xml:space="preserve">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rsidR="00567CD4" w:rsidRPr="00567CD4" w:rsidRDefault="00567CD4" w:rsidP="00567CD4">
      <w:pPr>
        <w:pStyle w:val="ListParagraph"/>
        <w:spacing w:after="0" w:line="240" w:lineRule="auto"/>
        <w:ind w:left="0" w:firstLine="567"/>
        <w:jc w:val="both"/>
        <w:rPr>
          <w:rFonts w:ascii="Times New Roman" w:hAnsi="Times New Roman" w:cs="Times New Roman"/>
          <w:color w:val="000000"/>
        </w:rPr>
      </w:pPr>
      <w:r w:rsidRPr="00567CD4">
        <w:rPr>
          <w:rFonts w:ascii="Times New Roman" w:hAnsi="Times New Roman" w:cs="Times New Roman"/>
          <w:color w:val="000000"/>
        </w:rPr>
        <w:t>Дирекция „Технически правила и норми“ (ТПН) в МРРБ отговаря за хармонизацията на техническата нормативна уредба за проектиране, изпълнение и експлоатация на строежите с правото на ЕС, осигуряването на свободното движение на строителните продукти и влагането им в строежите при осигуряване изпълнението на основните изисквания към строежите.</w:t>
      </w:r>
    </w:p>
    <w:p w:rsidR="00567CD4" w:rsidRPr="00567CD4" w:rsidRDefault="00567CD4" w:rsidP="00567CD4">
      <w:pPr>
        <w:pStyle w:val="ListParagraph"/>
        <w:spacing w:after="0" w:line="240" w:lineRule="auto"/>
        <w:ind w:left="0" w:firstLine="567"/>
        <w:jc w:val="both"/>
        <w:rPr>
          <w:rFonts w:ascii="Times New Roman" w:hAnsi="Times New Roman" w:cs="Times New Roman"/>
          <w:color w:val="000000"/>
        </w:rPr>
      </w:pPr>
      <w:r w:rsidRPr="00567CD4">
        <w:rPr>
          <w:rFonts w:ascii="Times New Roman" w:hAnsi="Times New Roman" w:cs="Times New Roman"/>
          <w:color w:val="000000"/>
        </w:rPr>
        <w:t>Дирекцията работи за осъществяването на държавна политика по разработването на технически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Дирекцията осъществява дейност в 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rsidR="00567CD4" w:rsidRPr="00567CD4" w:rsidRDefault="00567CD4" w:rsidP="00567CD4">
      <w:pPr>
        <w:pStyle w:val="ListParagraph"/>
        <w:spacing w:after="0" w:line="240" w:lineRule="auto"/>
        <w:ind w:left="0" w:firstLine="567"/>
        <w:jc w:val="both"/>
        <w:rPr>
          <w:rFonts w:ascii="Times New Roman" w:hAnsi="Times New Roman" w:cs="Times New Roman"/>
          <w:color w:val="000000"/>
        </w:rPr>
      </w:pPr>
      <w:r w:rsidRPr="00567CD4">
        <w:rPr>
          <w:rFonts w:ascii="Times New Roman" w:hAnsi="Times New Roman" w:cs="Times New Roman"/>
          <w:color w:val="000000"/>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567CD4" w:rsidRPr="001126A5" w:rsidRDefault="00567CD4" w:rsidP="00567CD4">
      <w:pPr>
        <w:pStyle w:val="ListParagraph"/>
        <w:spacing w:after="0" w:line="240" w:lineRule="auto"/>
        <w:ind w:left="0" w:firstLine="567"/>
        <w:jc w:val="both"/>
        <w:rPr>
          <w:rFonts w:ascii="Times New Roman" w:hAnsi="Times New Roman" w:cs="Times New Roman"/>
          <w:color w:val="000000"/>
        </w:rPr>
      </w:pPr>
      <w:r w:rsidRPr="00567CD4">
        <w:rPr>
          <w:rFonts w:ascii="Times New Roman" w:hAnsi="Times New Roman" w:cs="Times New Roman"/>
          <w:color w:val="000000"/>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1126A5" w:rsidRPr="00F25EA9" w:rsidRDefault="001126A5" w:rsidP="00F25EA9">
      <w:pPr>
        <w:pStyle w:val="ListParagraph"/>
        <w:tabs>
          <w:tab w:val="left" w:pos="851"/>
        </w:tabs>
        <w:spacing w:after="0" w:line="240" w:lineRule="auto"/>
        <w:ind w:left="0" w:firstLine="567"/>
        <w:rPr>
          <w:rFonts w:ascii="Times New Roman" w:hAnsi="Times New Roman" w:cs="Times New Roman"/>
          <w:b/>
          <w:i/>
          <w:color w:val="000000"/>
        </w:rPr>
      </w:pPr>
      <w:r w:rsidRPr="00F25EA9">
        <w:rPr>
          <w:rFonts w:ascii="Times New Roman" w:hAnsi="Times New Roman" w:cs="Times New Roman"/>
          <w:b/>
          <w:i/>
          <w:color w:val="000000"/>
        </w:rPr>
        <w:t>Стратегически цели</w:t>
      </w:r>
    </w:p>
    <w:p w:rsidR="00ED46CF" w:rsidRPr="00ED46CF" w:rsidRDefault="00ED46CF" w:rsidP="00ED46CF">
      <w:pPr>
        <w:pStyle w:val="ListParagraph"/>
        <w:numPr>
          <w:ilvl w:val="0"/>
          <w:numId w:val="34"/>
        </w:numPr>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Въвеждане на по-справедлив модел за таксуване за ползване н</w:t>
      </w:r>
      <w:r>
        <w:rPr>
          <w:rFonts w:ascii="Times New Roman" w:hAnsi="Times New Roman" w:cs="Times New Roman"/>
          <w:color w:val="000000"/>
        </w:rPr>
        <w:t xml:space="preserve">а републиканската пътна мрежа, </w:t>
      </w:r>
      <w:r w:rsidRPr="00ED46CF">
        <w:rPr>
          <w:rFonts w:ascii="Times New Roman" w:hAnsi="Times New Roman" w:cs="Times New Roman"/>
          <w:color w:val="000000"/>
        </w:rPr>
        <w:t>чрез въвеждане на смесена система: електронна винетка за леки автомобили и тол такса за изминато разстояние за тежкотоварните автомобили</w:t>
      </w:r>
    </w:p>
    <w:p w:rsidR="00ED46CF" w:rsidRDefault="00ED46CF" w:rsidP="00ED46CF">
      <w:pPr>
        <w:pStyle w:val="ListParagraph"/>
        <w:numPr>
          <w:ilvl w:val="0"/>
          <w:numId w:val="34"/>
        </w:numPr>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През 2020 г. e внедрeна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w:t>
      </w:r>
    </w:p>
    <w:p w:rsidR="00ED46CF" w:rsidRPr="00ED46CF" w:rsidRDefault="00ED46CF" w:rsidP="00ED46CF">
      <w:pPr>
        <w:pStyle w:val="ListParagraph"/>
        <w:numPr>
          <w:ilvl w:val="0"/>
          <w:numId w:val="34"/>
        </w:numPr>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rPr>
        <w:t>В прогнозата е отразено очакваното допълнително нарастване на приходите за трите години във връзка с предприети действия от АПИ през 2021 г. за актуализиране на „Тарифа за таксите, които се събират за преминаване и ползване на републиканската пътна мрежа“. С приемането на проекта на Постановление на Министерския съвет ще бъдат прецизирани текстовете на Тарифата, които уреждат заплащането на таксите по чл. 10, ал. 1 и ал. 2 от Закона за пътищата и ще бъдат актуализирани размерите на таксата на база и</w:t>
      </w:r>
      <w:r>
        <w:rPr>
          <w:rFonts w:ascii="Times New Roman" w:hAnsi="Times New Roman" w:cs="Times New Roman"/>
        </w:rPr>
        <w:t>зминато разстояние (тол такса);</w:t>
      </w:r>
    </w:p>
    <w:p w:rsidR="00ED46CF" w:rsidRPr="00ED46CF" w:rsidRDefault="00ED46CF" w:rsidP="00ED46CF">
      <w:pPr>
        <w:pStyle w:val="ListParagraph"/>
        <w:numPr>
          <w:ilvl w:val="0"/>
          <w:numId w:val="34"/>
        </w:numPr>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rPr>
        <w:t>Актуализирането на размера на таксата за всички пътни превозни средства с обща технически допустима максимална маса над 3,5 тона - такса за изминато разстояние (тол такса), ще окаже икономическо и социално въздействие върху групата заинтересовани страни, които са водачите на пътни превозни средства с обща технически допустима максимална маса над 3,5 тона. Също така ще бъде оказано общо – икономическо въздействие, върху сектор „Транспорт“ и върху различни участници от ве</w:t>
      </w:r>
      <w:r w:rsidR="00963762">
        <w:rPr>
          <w:rFonts w:ascii="Times New Roman" w:hAnsi="Times New Roman" w:cs="Times New Roman"/>
        </w:rPr>
        <w:t xml:space="preserve">ригата на добавената стойност. </w:t>
      </w:r>
      <w:r w:rsidRPr="00ED46CF">
        <w:rPr>
          <w:rFonts w:ascii="Times New Roman" w:hAnsi="Times New Roman" w:cs="Times New Roman"/>
        </w:rPr>
        <w:t>За МРРБ и АПИ е предвидено увеличаване на приходите от пътни такси. За гражданите и бизнеса увеличаването  на приходите от пътни такси ще доведе до разходване на повече средства за рехабилитация на пътищата и изграждането на нови, което ще увеличи възможността за по – бързо и по – безопасно придвижване по републиканската пътна мрежа.</w:t>
      </w:r>
    </w:p>
    <w:p w:rsidR="005D27F6" w:rsidRDefault="005D27F6" w:rsidP="005D27F6">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С промяна на тарифата освен предвиденото увеличаване на събраните приходи, се цели:</w:t>
      </w:r>
    </w:p>
    <w:p w:rsidR="005D27F6" w:rsidRDefault="005D27F6" w:rsidP="005D27F6">
      <w:pPr>
        <w:pStyle w:val="ListParagraph"/>
        <w:numPr>
          <w:ilvl w:val="0"/>
          <w:numId w:val="39"/>
        </w:numPr>
        <w:tabs>
          <w:tab w:val="left" w:pos="851"/>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lang w:eastAsia="bg-BG"/>
        </w:rPr>
        <w:lastRenderedPageBreak/>
        <w:t>Актуализиране на размера на тол таксите и определяне на размер за тол такси за пътища II – ри клас -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 При прилагане на предложения вариант, съобразен с разработените от Световна банка сценарии, ще се доближим максимално до таксите на съседните на Република България страни. На следващо място, ще се уеднакви подходът към ползвателите на платената пътна мрежа в страната – за движение по второкласната пътна мрежа, включена в обхвата на републиканската пътна мрежа, освен лекотоварните ППС, пътна такса ще заплащат и тежкотоварните ППС.</w:t>
      </w:r>
    </w:p>
    <w:p w:rsidR="005D27F6" w:rsidRDefault="005D27F6" w:rsidP="005D27F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Отпадане на категоризацията на пътните превозни средства по Тарифа за таксите, които се събират за преминаване и ползване на републиканската пътна мрежа.</w:t>
      </w:r>
    </w:p>
    <w:p w:rsidR="005D27F6" w:rsidRDefault="005D27F6" w:rsidP="005D27F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Отпадане на облекчения режим на таксуване за пътни превозни средства над 3,5 тона, използващи като единствен източник алтернативно гориво по реда на чл. 27, ал. 2 от Тарифа за таксите, които се събират за преминаване и ползване на републиканската пътна мрежа. По този начин ще бъде спазен основният принцип на ЕС „ползвателят плаща“ и ще бъде увеличен основният приход от пътни такси, чието предназначение е за изграждане/рехабилитация на републиканската пътна мрежа.</w:t>
      </w:r>
    </w:p>
    <w:p w:rsidR="00ED46CF" w:rsidRPr="00ED46CF" w:rsidRDefault="00ED46CF" w:rsidP="00ED46CF">
      <w:pPr>
        <w:spacing w:after="0" w:line="240" w:lineRule="auto"/>
        <w:ind w:firstLine="567"/>
        <w:jc w:val="both"/>
        <w:rPr>
          <w:rFonts w:ascii="Times New Roman" w:hAnsi="Times New Roman" w:cs="Times New Roman"/>
        </w:rPr>
      </w:pPr>
      <w:r w:rsidRPr="00ED46CF">
        <w:rPr>
          <w:rFonts w:ascii="Times New Roman" w:hAnsi="Times New Roman" w:cs="Times New Roman"/>
        </w:rPr>
        <w:t>Изграждането на модерна и безопасна пътна инфраструктура е основен приоритет за АПИ чрез д</w:t>
      </w:r>
      <w:r w:rsidRPr="00ED46CF">
        <w:rPr>
          <w:rFonts w:ascii="Times New Roman" w:eastAsia="Times New Roman" w:hAnsi="Times New Roman" w:cs="Times New Roman"/>
          <w:lang w:eastAsia="bg-BG"/>
        </w:rPr>
        <w:t xml:space="preserve">оизграждането на магистралните и скоростни трасета, което ще допринесе до затваряне на автомагистралния пръстен на Р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 </w:t>
      </w:r>
      <w:r w:rsidRPr="00ED46CF">
        <w:rPr>
          <w:rFonts w:ascii="Times New Roman" w:hAnsi="Times New Roman" w:cs="Times New Roman"/>
        </w:rPr>
        <w:t>Тази цел ще бъде постигната чрез реализацията на стратегически инфраструктурни проекти, като:</w:t>
      </w:r>
    </w:p>
    <w:p w:rsidR="00ED46CF" w:rsidRPr="00ED46CF" w:rsidRDefault="00ED46CF" w:rsidP="00ED46CF">
      <w:pPr>
        <w:pStyle w:val="ListParagraph"/>
        <w:numPr>
          <w:ilvl w:val="0"/>
          <w:numId w:val="38"/>
        </w:numPr>
        <w:spacing w:after="0" w:line="240" w:lineRule="auto"/>
        <w:ind w:left="0" w:firstLine="567"/>
        <w:jc w:val="both"/>
        <w:rPr>
          <w:rFonts w:ascii="Times New Roman" w:hAnsi="Times New Roman" w:cs="Times New Roman"/>
          <w:lang w:val="en-US"/>
        </w:rPr>
      </w:pPr>
      <w:r w:rsidRPr="00ED46CF">
        <w:rPr>
          <w:rFonts w:ascii="Times New Roman" w:hAnsi="Times New Roman" w:cs="Times New Roman"/>
        </w:rPr>
        <w:t>Модернизация на път I-8 „Калотина – Софийски околовръстен път“, участък от км 1+000 до км 15+500 и етапна връзка</w:t>
      </w:r>
      <w:r w:rsidRPr="00ED46CF">
        <w:rPr>
          <w:rFonts w:ascii="Times New Roman" w:hAnsi="Times New Roman" w:cs="Times New Roman"/>
          <w:lang w:val="en-US"/>
        </w:rPr>
        <w:t>;</w:t>
      </w:r>
    </w:p>
    <w:p w:rsidR="00ED46CF" w:rsidRPr="00ED46CF" w:rsidRDefault="00ED46CF" w:rsidP="00ED46CF">
      <w:pPr>
        <w:pStyle w:val="ListParagraph"/>
        <w:numPr>
          <w:ilvl w:val="0"/>
          <w:numId w:val="38"/>
        </w:numPr>
        <w:spacing w:after="0" w:line="240" w:lineRule="auto"/>
        <w:ind w:left="0" w:firstLine="567"/>
        <w:jc w:val="both"/>
        <w:rPr>
          <w:rFonts w:ascii="Times New Roman" w:hAnsi="Times New Roman" w:cs="Times New Roman"/>
          <w:lang w:val="en-US"/>
        </w:rPr>
      </w:pPr>
      <w:r w:rsidRPr="00ED46CF">
        <w:rPr>
          <w:rFonts w:ascii="Times New Roman" w:hAnsi="Times New Roman" w:cs="Times New Roman"/>
        </w:rPr>
        <w:t>АМ „Европа“  от км 32+447,20 до км 48+903“</w:t>
      </w:r>
      <w:r w:rsidRPr="00ED46CF">
        <w:rPr>
          <w:rFonts w:ascii="Times New Roman" w:hAnsi="Times New Roman" w:cs="Times New Roman"/>
          <w:lang w:val="en-US"/>
        </w:rPr>
        <w:t>;</w:t>
      </w:r>
    </w:p>
    <w:p w:rsidR="00ED46CF" w:rsidRPr="00ED46CF" w:rsidRDefault="00ED46CF" w:rsidP="00ED46CF">
      <w:pPr>
        <w:pStyle w:val="ListParagraph"/>
        <w:numPr>
          <w:ilvl w:val="0"/>
          <w:numId w:val="38"/>
        </w:numPr>
        <w:spacing w:after="0" w:line="240" w:lineRule="auto"/>
        <w:ind w:left="0" w:firstLine="567"/>
        <w:jc w:val="both"/>
        <w:rPr>
          <w:rFonts w:ascii="Times New Roman" w:hAnsi="Times New Roman" w:cs="Times New Roman"/>
        </w:rPr>
      </w:pPr>
      <w:r w:rsidRPr="00ED46CF">
        <w:rPr>
          <w:rFonts w:ascii="Times New Roman" w:hAnsi="Times New Roman" w:cs="Times New Roman"/>
        </w:rPr>
        <w:t>АМ "Струма" Лот 3.2</w:t>
      </w:r>
      <w:r w:rsidRPr="00ED46CF">
        <w:rPr>
          <w:rFonts w:ascii="Times New Roman" w:hAnsi="Times New Roman" w:cs="Times New Roman"/>
          <w:lang w:val="en-US"/>
        </w:rPr>
        <w:t>;</w:t>
      </w:r>
    </w:p>
    <w:p w:rsidR="00ED46CF" w:rsidRPr="00ED46CF" w:rsidRDefault="00ED46CF" w:rsidP="00ED46CF">
      <w:pPr>
        <w:pStyle w:val="ListParagraph"/>
        <w:numPr>
          <w:ilvl w:val="0"/>
          <w:numId w:val="38"/>
        </w:numPr>
        <w:spacing w:after="0" w:line="240" w:lineRule="auto"/>
        <w:ind w:left="0" w:firstLine="567"/>
        <w:jc w:val="both"/>
        <w:rPr>
          <w:rFonts w:ascii="Times New Roman" w:hAnsi="Times New Roman" w:cs="Times New Roman"/>
        </w:rPr>
      </w:pPr>
      <w:r w:rsidRPr="00ED46CF">
        <w:rPr>
          <w:rFonts w:ascii="Times New Roman" w:hAnsi="Times New Roman" w:cs="Times New Roman"/>
        </w:rPr>
        <w:t>„Обход на гр. Габрово от км 20+124,50 до км 30+673,48, включително тунел под връх Шипка“</w:t>
      </w:r>
      <w:r w:rsidRPr="00ED46CF">
        <w:rPr>
          <w:rFonts w:ascii="Times New Roman" w:hAnsi="Times New Roman" w:cs="Times New Roman"/>
          <w:lang w:val="en-US"/>
        </w:rPr>
        <w:t>;</w:t>
      </w:r>
    </w:p>
    <w:p w:rsidR="00ED46CF" w:rsidRPr="00ED46CF" w:rsidRDefault="00ED46CF" w:rsidP="00ED46CF">
      <w:pPr>
        <w:pStyle w:val="ListParagraph"/>
        <w:numPr>
          <w:ilvl w:val="0"/>
          <w:numId w:val="38"/>
        </w:numPr>
        <w:spacing w:after="0" w:line="240" w:lineRule="auto"/>
        <w:ind w:left="0" w:firstLine="567"/>
        <w:jc w:val="both"/>
        <w:rPr>
          <w:rFonts w:ascii="Times New Roman" w:hAnsi="Times New Roman" w:cs="Times New Roman"/>
        </w:rPr>
      </w:pPr>
      <w:r w:rsidRPr="00ED46CF">
        <w:rPr>
          <w:rFonts w:ascii="Times New Roman" w:hAnsi="Times New Roman" w:cs="Times New Roman"/>
        </w:rPr>
        <w:t>АМ „Русе – Велико Търново“</w:t>
      </w:r>
      <w:r w:rsidRPr="00ED46CF">
        <w:rPr>
          <w:rFonts w:ascii="Times New Roman" w:hAnsi="Times New Roman" w:cs="Times New Roman"/>
          <w:lang w:val="en-US"/>
        </w:rPr>
        <w:t>;</w:t>
      </w:r>
    </w:p>
    <w:p w:rsidR="00ED46CF" w:rsidRPr="00ED46CF" w:rsidRDefault="00ED46CF" w:rsidP="00ED46CF">
      <w:pPr>
        <w:pStyle w:val="ListParagraph"/>
        <w:numPr>
          <w:ilvl w:val="0"/>
          <w:numId w:val="38"/>
        </w:numPr>
        <w:spacing w:after="0" w:line="240" w:lineRule="auto"/>
        <w:ind w:left="0" w:firstLine="567"/>
        <w:jc w:val="both"/>
        <w:rPr>
          <w:rFonts w:ascii="Times New Roman" w:hAnsi="Times New Roman" w:cs="Times New Roman"/>
        </w:rPr>
      </w:pPr>
      <w:r w:rsidRPr="00ED46CF">
        <w:rPr>
          <w:rFonts w:ascii="Times New Roman" w:hAnsi="Times New Roman" w:cs="Times New Roman"/>
        </w:rPr>
        <w:t>„Обходен път на гр. Бургас от км 230+700 на път I-9 Сарафово - Бургас до км 493+550 на път I-6 Ветрен-Бургас и локални платна“</w:t>
      </w:r>
      <w:r w:rsidRPr="00ED46CF">
        <w:rPr>
          <w:rFonts w:ascii="Times New Roman" w:hAnsi="Times New Roman" w:cs="Times New Roman"/>
          <w:lang w:val="en-US"/>
        </w:rPr>
        <w:t>;</w:t>
      </w:r>
    </w:p>
    <w:p w:rsidR="00ED46CF" w:rsidRPr="00ED46CF" w:rsidRDefault="00ED46CF" w:rsidP="00ED46CF">
      <w:pPr>
        <w:pStyle w:val="ListParagraph"/>
        <w:numPr>
          <w:ilvl w:val="0"/>
          <w:numId w:val="38"/>
        </w:numPr>
        <w:spacing w:after="0" w:line="240" w:lineRule="auto"/>
        <w:ind w:left="0" w:firstLine="567"/>
        <w:jc w:val="both"/>
        <w:rPr>
          <w:rFonts w:ascii="Times New Roman" w:hAnsi="Times New Roman" w:cs="Times New Roman"/>
        </w:rPr>
      </w:pPr>
      <w:r w:rsidRPr="00ED46CF">
        <w:rPr>
          <w:rFonts w:ascii="Times New Roman" w:hAnsi="Times New Roman" w:cs="Times New Roman"/>
        </w:rPr>
        <w:t>Изготвяне на технически проект и строителство (инженеринг) на обект: АМ Хемус, участък от км 310+940 до км 327+260. Обща дължина 16,320 км</w:t>
      </w:r>
      <w:r w:rsidRPr="00ED46CF">
        <w:rPr>
          <w:rFonts w:ascii="Times New Roman" w:hAnsi="Times New Roman" w:cs="Times New Roman"/>
          <w:lang w:val="en-US"/>
        </w:rPr>
        <w:t>.</w:t>
      </w:r>
    </w:p>
    <w:p w:rsidR="001126A5" w:rsidRPr="00ED46CF"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Качествено транспортно обслужване по общинските пътища;</w:t>
      </w:r>
    </w:p>
    <w:p w:rsidR="001126A5" w:rsidRPr="00ED46CF"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Подобряване на качеството на жизнената среда;</w:t>
      </w:r>
    </w:p>
    <w:p w:rsidR="001126A5" w:rsidRPr="00ED46CF"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Превенция и ограничаване на свлачищните процеси на територията на страната и на ерозионните и абразионни процеси по Дунавското и Черноморското крайбрежие;</w:t>
      </w:r>
    </w:p>
    <w:p w:rsidR="001126A5" w:rsidRPr="00ED46CF"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Нормативна и приложна дейност в областта на пътната инфраструктура;</w:t>
      </w:r>
    </w:p>
    <w:p w:rsidR="001126A5" w:rsidRPr="00ED46CF"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rsidR="001126A5" w:rsidRPr="00ED46CF"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ED46CF">
        <w:rPr>
          <w:rFonts w:ascii="Times New Roman" w:hAnsi="Times New Roman" w:cs="Times New Roman"/>
          <w:color w:val="000000"/>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p>
    <w:p w:rsidR="001126A5" w:rsidRPr="001126A5"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Постигане на 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Pr>
          <w:rFonts w:ascii="Times New Roman" w:hAnsi="Times New Roman" w:cs="Times New Roman"/>
          <w:color w:val="000000"/>
        </w:rPr>
        <w:t>нето и пречистването на водите.</w:t>
      </w:r>
      <w:r w:rsidR="00790809">
        <w:rPr>
          <w:rFonts w:ascii="Times New Roman" w:hAnsi="Times New Roman" w:cs="Times New Roman"/>
          <w:color w:val="000000"/>
        </w:rPr>
        <w:t xml:space="preserve"> </w:t>
      </w:r>
      <w:r w:rsidRPr="001126A5">
        <w:rPr>
          <w:rFonts w:ascii="Times New Roman" w:hAnsi="Times New Roman" w:cs="Times New Roman"/>
          <w:color w:val="000000"/>
        </w:rPr>
        <w:t>Съответствие с европейските директиви в областта на питейните и отпадъчните води;</w:t>
      </w:r>
    </w:p>
    <w:p w:rsidR="001126A5" w:rsidRPr="001126A5"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Съответствие с европейските директиви в областта на питейните и отпадъчните води;</w:t>
      </w:r>
    </w:p>
    <w:p w:rsidR="001126A5" w:rsidRPr="001126A5"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Повишаване ефективността на инвестициите чрез планиране на регионално ниво;</w:t>
      </w:r>
    </w:p>
    <w:p w:rsidR="001126A5" w:rsidRPr="001126A5"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 xml:space="preserve">Повишаване ефективността при предоставяне на „ВиК“ услугите; </w:t>
      </w:r>
    </w:p>
    <w:p w:rsidR="001126A5" w:rsidRPr="001126A5"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Рехабилитация и реконструкция на съществуващите водоснабдителни системи за питейна вода;</w:t>
      </w:r>
    </w:p>
    <w:p w:rsidR="001126A5" w:rsidRPr="001126A5"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Подобряване на качеството на питейната вода;</w:t>
      </w:r>
    </w:p>
    <w:p w:rsidR="001126A5" w:rsidRPr="001126A5"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Отвеждане на отпадъчните води от населените места и пречистването им;</w:t>
      </w:r>
    </w:p>
    <w:p w:rsidR="001126A5" w:rsidRPr="001126A5" w:rsidRDefault="001126A5" w:rsidP="00ED46CF">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 xml:space="preserve">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w:t>
      </w:r>
      <w:r w:rsidRPr="001126A5">
        <w:rPr>
          <w:rFonts w:ascii="Times New Roman" w:hAnsi="Times New Roman" w:cs="Times New Roman"/>
          <w:color w:val="000000"/>
        </w:rPr>
        <w:lastRenderedPageBreak/>
        <w:t>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1126A5" w:rsidRP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1126A5" w:rsidRDefault="001126A5" w:rsidP="00A10F5E">
      <w:pPr>
        <w:pStyle w:val="ListParagraph"/>
        <w:numPr>
          <w:ilvl w:val="0"/>
          <w:numId w:val="34"/>
        </w:numPr>
        <w:tabs>
          <w:tab w:val="left" w:pos="709"/>
          <w:tab w:val="left" w:pos="851"/>
        </w:tabs>
        <w:spacing w:after="0" w:line="240" w:lineRule="auto"/>
        <w:ind w:left="0" w:firstLine="567"/>
        <w:jc w:val="both"/>
        <w:rPr>
          <w:rFonts w:ascii="Times New Roman" w:hAnsi="Times New Roman" w:cs="Times New Roman"/>
          <w:color w:val="000000"/>
        </w:rPr>
      </w:pPr>
      <w:r w:rsidRPr="001126A5">
        <w:rPr>
          <w:rFonts w:ascii="Times New Roman" w:hAnsi="Times New Roman" w:cs="Times New Roman"/>
          <w:color w:val="000000"/>
        </w:rPr>
        <w:t xml:space="preserve">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w:t>
      </w:r>
      <w:r w:rsidR="0029525B">
        <w:rPr>
          <w:rFonts w:ascii="Times New Roman" w:hAnsi="Times New Roman" w:cs="Times New Roman"/>
          <w:color w:val="000000"/>
        </w:rPr>
        <w:t>местно ниво на Съвета на Европа;</w:t>
      </w:r>
    </w:p>
    <w:p w:rsidR="0029525B" w:rsidRPr="0029525B" w:rsidRDefault="0029525B" w:rsidP="0029525B">
      <w:pPr>
        <w:pStyle w:val="ListParagraph"/>
        <w:numPr>
          <w:ilvl w:val="0"/>
          <w:numId w:val="34"/>
        </w:numPr>
        <w:spacing w:after="0" w:line="240" w:lineRule="auto"/>
        <w:ind w:left="0" w:firstLine="567"/>
        <w:jc w:val="both"/>
        <w:rPr>
          <w:rFonts w:ascii="Times New Roman" w:hAnsi="Times New Roman" w:cs="Times New Roman"/>
          <w:color w:val="000000"/>
        </w:rPr>
      </w:pPr>
      <w:r w:rsidRPr="0029525B">
        <w:rPr>
          <w:rFonts w:ascii="Times New Roman" w:hAnsi="Times New Roman" w:cs="Times New Roman"/>
          <w:color w:val="000000"/>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29525B" w:rsidRPr="0029525B" w:rsidRDefault="0029525B" w:rsidP="0029525B">
      <w:pPr>
        <w:pStyle w:val="ListParagraph"/>
        <w:numPr>
          <w:ilvl w:val="0"/>
          <w:numId w:val="34"/>
        </w:numPr>
        <w:spacing w:after="0" w:line="240" w:lineRule="auto"/>
        <w:ind w:left="0" w:firstLine="567"/>
        <w:jc w:val="both"/>
        <w:rPr>
          <w:rFonts w:ascii="Times New Roman" w:hAnsi="Times New Roman" w:cs="Times New Roman"/>
          <w:color w:val="000000"/>
        </w:rPr>
      </w:pPr>
      <w:r w:rsidRPr="0029525B">
        <w:rPr>
          <w:rFonts w:ascii="Times New Roman" w:hAnsi="Times New Roman" w:cs="Times New Roman"/>
          <w:color w:val="000000"/>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29525B" w:rsidRPr="0029525B" w:rsidRDefault="0029525B" w:rsidP="0029525B">
      <w:pPr>
        <w:pStyle w:val="ListParagraph"/>
        <w:numPr>
          <w:ilvl w:val="0"/>
          <w:numId w:val="34"/>
        </w:numPr>
        <w:spacing w:after="0" w:line="240" w:lineRule="auto"/>
        <w:ind w:left="0" w:firstLine="567"/>
        <w:jc w:val="both"/>
        <w:rPr>
          <w:rFonts w:ascii="Times New Roman" w:hAnsi="Times New Roman" w:cs="Times New Roman"/>
          <w:color w:val="000000"/>
        </w:rPr>
      </w:pPr>
      <w:r w:rsidRPr="0029525B">
        <w:rPr>
          <w:rFonts w:ascii="Times New Roman" w:hAnsi="Times New Roman" w:cs="Times New Roman"/>
          <w:color w:val="000000"/>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29525B" w:rsidRPr="0029525B" w:rsidRDefault="0029525B" w:rsidP="0029525B">
      <w:pPr>
        <w:pStyle w:val="ListParagraph"/>
        <w:numPr>
          <w:ilvl w:val="0"/>
          <w:numId w:val="34"/>
        </w:numPr>
        <w:spacing w:after="0" w:line="240" w:lineRule="auto"/>
        <w:ind w:left="0" w:firstLine="567"/>
        <w:jc w:val="both"/>
        <w:rPr>
          <w:rFonts w:ascii="Times New Roman" w:hAnsi="Times New Roman" w:cs="Times New Roman"/>
          <w:color w:val="000000"/>
        </w:rPr>
      </w:pPr>
      <w:r w:rsidRPr="0029525B">
        <w:rPr>
          <w:rFonts w:ascii="Times New Roman" w:hAnsi="Times New Roman" w:cs="Times New Roman"/>
          <w:color w:val="000000"/>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29525B" w:rsidRPr="0029525B" w:rsidRDefault="0029525B" w:rsidP="0029525B">
      <w:pPr>
        <w:pStyle w:val="ListParagraph"/>
        <w:numPr>
          <w:ilvl w:val="0"/>
          <w:numId w:val="34"/>
        </w:numPr>
        <w:spacing w:after="0" w:line="240" w:lineRule="auto"/>
        <w:ind w:left="0" w:firstLine="567"/>
        <w:jc w:val="both"/>
        <w:rPr>
          <w:rFonts w:ascii="Times New Roman" w:hAnsi="Times New Roman" w:cs="Times New Roman"/>
          <w:color w:val="000000"/>
        </w:rPr>
      </w:pPr>
      <w:r w:rsidRPr="0029525B">
        <w:rPr>
          <w:rFonts w:ascii="Times New Roman" w:hAnsi="Times New Roman" w:cs="Times New Roman"/>
          <w:color w:val="000000"/>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w:t>
      </w:r>
    </w:p>
    <w:p w:rsidR="0029525B" w:rsidRPr="0029525B" w:rsidRDefault="0029525B" w:rsidP="0029525B">
      <w:pPr>
        <w:pStyle w:val="ListParagraph"/>
        <w:numPr>
          <w:ilvl w:val="0"/>
          <w:numId w:val="34"/>
        </w:numPr>
        <w:spacing w:after="0" w:line="240" w:lineRule="auto"/>
        <w:ind w:left="0" w:firstLine="567"/>
        <w:jc w:val="both"/>
        <w:rPr>
          <w:rFonts w:ascii="Times New Roman" w:hAnsi="Times New Roman" w:cs="Times New Roman"/>
          <w:color w:val="000000"/>
        </w:rPr>
      </w:pPr>
      <w:r w:rsidRPr="0029525B">
        <w:rPr>
          <w:rFonts w:ascii="Times New Roman" w:hAnsi="Times New Roman" w:cs="Times New Roman"/>
          <w:color w:val="000000"/>
        </w:rPr>
        <w:t>Осигуряване на актуална информация за националните изисквания към строителните продукти в зависимост от предвидената им употреба;</w:t>
      </w:r>
    </w:p>
    <w:p w:rsidR="0029525B" w:rsidRPr="0029525B" w:rsidRDefault="0029525B" w:rsidP="0029525B">
      <w:pPr>
        <w:pStyle w:val="ListParagraph"/>
        <w:numPr>
          <w:ilvl w:val="0"/>
          <w:numId w:val="34"/>
        </w:numPr>
        <w:spacing w:after="0" w:line="240" w:lineRule="auto"/>
        <w:ind w:left="0" w:firstLine="567"/>
        <w:jc w:val="both"/>
        <w:rPr>
          <w:rFonts w:ascii="Times New Roman" w:hAnsi="Times New Roman" w:cs="Times New Roman"/>
          <w:color w:val="000000"/>
        </w:rPr>
      </w:pPr>
      <w:r w:rsidRPr="0029525B">
        <w:rPr>
          <w:rFonts w:ascii="Times New Roman" w:hAnsi="Times New Roman" w:cs="Times New Roman"/>
          <w:color w:val="000000"/>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r>
        <w:rPr>
          <w:rFonts w:ascii="Times New Roman" w:hAnsi="Times New Roman" w:cs="Times New Roman"/>
          <w:color w:val="000000"/>
        </w:rPr>
        <w:t>.</w:t>
      </w:r>
    </w:p>
    <w:p w:rsidR="00C460C8" w:rsidRPr="00CD19BF" w:rsidRDefault="00C460C8" w:rsidP="00A10F5E">
      <w:pPr>
        <w:pStyle w:val="ListParagraph"/>
        <w:tabs>
          <w:tab w:val="left" w:pos="851"/>
        </w:tabs>
        <w:spacing w:after="0" w:line="240" w:lineRule="auto"/>
        <w:ind w:left="567"/>
        <w:jc w:val="both"/>
        <w:rPr>
          <w:rFonts w:ascii="Times New Roman" w:hAnsi="Times New Roman" w:cs="Times New Roman"/>
          <w:color w:val="000000"/>
          <w:sz w:val="14"/>
          <w:lang w:val="en-US"/>
        </w:rPr>
      </w:pPr>
    </w:p>
    <w:p w:rsidR="00135D80" w:rsidRPr="0025354B" w:rsidRDefault="006B2804" w:rsidP="00A10F5E">
      <w:pPr>
        <w:pStyle w:val="ListParagraph"/>
        <w:numPr>
          <w:ilvl w:val="0"/>
          <w:numId w:val="1"/>
        </w:numPr>
        <w:spacing w:after="0" w:line="240" w:lineRule="auto"/>
        <w:ind w:left="0" w:firstLine="567"/>
        <w:jc w:val="both"/>
        <w:rPr>
          <w:rFonts w:ascii="Times New Roman" w:hAnsi="Times New Roman" w:cs="Times New Roman"/>
          <w:b/>
          <w:i/>
          <w:color w:val="0000CC"/>
        </w:rPr>
      </w:pPr>
      <w:r w:rsidRPr="0025354B">
        <w:rPr>
          <w:rFonts w:ascii="Times New Roman" w:hAnsi="Times New Roman" w:cs="Times New Roman"/>
          <w:b/>
          <w:i/>
          <w:color w:val="0000CC"/>
        </w:rPr>
        <w:t>Отговорност за разпределението на публичните разходи за политиката</w:t>
      </w:r>
    </w:p>
    <w:p w:rsidR="00135D80" w:rsidRPr="0025354B" w:rsidRDefault="00135D80" w:rsidP="00A10F5E">
      <w:pPr>
        <w:pStyle w:val="ListParagraph"/>
        <w:numPr>
          <w:ilvl w:val="0"/>
          <w:numId w:val="4"/>
        </w:numPr>
        <w:spacing w:after="0" w:line="240" w:lineRule="auto"/>
        <w:ind w:left="1134" w:firstLine="0"/>
        <w:jc w:val="both"/>
        <w:rPr>
          <w:rFonts w:ascii="Times New Roman" w:hAnsi="Times New Roman" w:cs="Times New Roman"/>
          <w:b/>
          <w:i/>
          <w:color w:val="0000CC"/>
        </w:rPr>
      </w:pPr>
      <w:r w:rsidRPr="0025354B">
        <w:rPr>
          <w:rFonts w:ascii="Times New Roman" w:hAnsi="Times New Roman" w:cs="Times New Roman"/>
          <w:b/>
          <w:i/>
          <w:color w:val="0000CC"/>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AA08F4" w:rsidRDefault="00AA08F4" w:rsidP="00A10F5E">
      <w:pPr>
        <w:pStyle w:val="ListParagraph"/>
        <w:tabs>
          <w:tab w:val="left" w:pos="851"/>
        </w:tabs>
        <w:spacing w:after="0" w:line="240" w:lineRule="auto"/>
        <w:jc w:val="both"/>
        <w:rPr>
          <w:rFonts w:ascii="Times New Roman" w:hAnsi="Times New Roman" w:cs="Times New Roman"/>
          <w:b/>
          <w:i/>
        </w:rPr>
      </w:pPr>
    </w:p>
    <w:tbl>
      <w:tblPr>
        <w:tblW w:w="9657" w:type="dxa"/>
        <w:tblInd w:w="75" w:type="dxa"/>
        <w:tblCellMar>
          <w:left w:w="70" w:type="dxa"/>
          <w:right w:w="70" w:type="dxa"/>
        </w:tblCellMar>
        <w:tblLook w:val="04A0" w:firstRow="1" w:lastRow="0" w:firstColumn="1" w:lastColumn="0" w:noHBand="0" w:noVBand="1"/>
      </w:tblPr>
      <w:tblGrid>
        <w:gridCol w:w="3397"/>
        <w:gridCol w:w="1560"/>
        <w:gridCol w:w="1420"/>
        <w:gridCol w:w="1600"/>
        <w:gridCol w:w="1680"/>
      </w:tblGrid>
      <w:tr w:rsidR="002F5A10" w:rsidRPr="002F5A10" w:rsidTr="002F5A10">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Област на политика (в хил.</w:t>
            </w:r>
            <w:r w:rsidR="00F358E4">
              <w:rPr>
                <w:rFonts w:ascii="Times New Roman" w:eastAsia="Times New Roman" w:hAnsi="Times New Roman" w:cs="Times New Roman"/>
                <w:b/>
                <w:bCs/>
                <w:i/>
                <w:iCs/>
                <w:color w:val="000000"/>
                <w:sz w:val="18"/>
                <w:szCs w:val="18"/>
                <w:lang w:eastAsia="bg-BG"/>
              </w:rPr>
              <w:t xml:space="preserve"> </w:t>
            </w:r>
            <w:r w:rsidRPr="002F5A10">
              <w:rPr>
                <w:rFonts w:ascii="Times New Roman" w:eastAsia="Times New Roman" w:hAnsi="Times New Roman" w:cs="Times New Roman"/>
                <w:b/>
                <w:bCs/>
                <w:i/>
                <w:iCs/>
                <w:color w:val="000000"/>
                <w:sz w:val="18"/>
                <w:szCs w:val="18"/>
                <w:lang w:eastAsia="bg-BG"/>
              </w:rPr>
              <w:t>лв.)</w:t>
            </w:r>
          </w:p>
        </w:tc>
        <w:tc>
          <w:tcPr>
            <w:tcW w:w="1560" w:type="dxa"/>
            <w:tcBorders>
              <w:top w:val="single" w:sz="4" w:space="0" w:color="auto"/>
              <w:left w:val="nil"/>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 </w:t>
            </w:r>
          </w:p>
        </w:tc>
        <w:tc>
          <w:tcPr>
            <w:tcW w:w="1420" w:type="dxa"/>
            <w:tcBorders>
              <w:top w:val="single" w:sz="4" w:space="0" w:color="auto"/>
              <w:left w:val="nil"/>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Общо разходи</w:t>
            </w:r>
          </w:p>
        </w:tc>
        <w:tc>
          <w:tcPr>
            <w:tcW w:w="1600" w:type="dxa"/>
            <w:tcBorders>
              <w:top w:val="single" w:sz="4" w:space="0" w:color="auto"/>
              <w:left w:val="nil"/>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По бюджета на ПРБ</w:t>
            </w:r>
          </w:p>
        </w:tc>
        <w:tc>
          <w:tcPr>
            <w:tcW w:w="1680" w:type="dxa"/>
            <w:tcBorders>
              <w:top w:val="single" w:sz="4" w:space="0" w:color="auto"/>
              <w:left w:val="nil"/>
              <w:bottom w:val="single" w:sz="4" w:space="0" w:color="auto"/>
              <w:right w:val="single" w:sz="4" w:space="0" w:color="auto"/>
            </w:tcBorders>
            <w:shd w:val="clear" w:color="000000" w:fill="FCD5B4"/>
            <w:vAlign w:val="center"/>
            <w:hideMark/>
          </w:tcPr>
          <w:p w:rsidR="002F5A10" w:rsidRPr="002F5A10" w:rsidRDefault="002F5A10" w:rsidP="002F5A10">
            <w:pPr>
              <w:spacing w:after="0" w:line="240" w:lineRule="auto"/>
              <w:jc w:val="center"/>
              <w:rPr>
                <w:rFonts w:ascii="Times New Roman" w:eastAsia="Times New Roman" w:hAnsi="Times New Roman" w:cs="Times New Roman"/>
                <w:b/>
                <w:bCs/>
                <w:i/>
                <w:iCs/>
                <w:color w:val="000000"/>
                <w:sz w:val="18"/>
                <w:szCs w:val="18"/>
                <w:lang w:eastAsia="bg-BG"/>
              </w:rPr>
            </w:pPr>
            <w:r w:rsidRPr="002F5A10">
              <w:rPr>
                <w:rFonts w:ascii="Times New Roman" w:eastAsia="Times New Roman" w:hAnsi="Times New Roman" w:cs="Times New Roman"/>
                <w:b/>
                <w:bCs/>
                <w:i/>
                <w:iCs/>
                <w:color w:val="000000"/>
                <w:sz w:val="18"/>
                <w:szCs w:val="18"/>
                <w:lang w:eastAsia="bg-BG"/>
              </w:rPr>
              <w:t>По други бюджети и сметки за СЕС</w:t>
            </w:r>
          </w:p>
        </w:tc>
      </w:tr>
      <w:tr w:rsidR="002F5A10" w:rsidRPr="002F5A10" w:rsidTr="002F5A10">
        <w:trPr>
          <w:trHeight w:val="390"/>
        </w:trPr>
        <w:tc>
          <w:tcPr>
            <w:tcW w:w="3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Политика за подобряване на инвестиционния процес, поддържане, модернизация и изграждане на техническата инфраструктура</w:t>
            </w:r>
          </w:p>
        </w:tc>
        <w:tc>
          <w:tcPr>
            <w:tcW w:w="156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i/>
                <w:iCs/>
                <w:color w:val="000000"/>
                <w:sz w:val="18"/>
                <w:szCs w:val="18"/>
                <w:lang w:eastAsia="bg-BG"/>
              </w:rPr>
            </w:pPr>
            <w:r w:rsidRPr="002F5A10">
              <w:rPr>
                <w:rFonts w:ascii="Times New Roman" w:eastAsia="Times New Roman" w:hAnsi="Times New Roman" w:cs="Times New Roman"/>
                <w:i/>
                <w:iCs/>
                <w:color w:val="000000"/>
                <w:sz w:val="18"/>
                <w:szCs w:val="18"/>
                <w:lang w:eastAsia="bg-BG"/>
              </w:rPr>
              <w:t>Проект 2022 г.</w:t>
            </w:r>
          </w:p>
        </w:tc>
        <w:tc>
          <w:tcPr>
            <w:tcW w:w="142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3 628 706,0</w:t>
            </w:r>
          </w:p>
        </w:tc>
        <w:tc>
          <w:tcPr>
            <w:tcW w:w="160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2 535 793,1</w:t>
            </w:r>
          </w:p>
        </w:tc>
        <w:tc>
          <w:tcPr>
            <w:tcW w:w="16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1 092 912,9</w:t>
            </w:r>
          </w:p>
        </w:tc>
      </w:tr>
      <w:tr w:rsidR="002F5A10" w:rsidRPr="002F5A10" w:rsidTr="002F5A10">
        <w:trPr>
          <w:trHeight w:val="390"/>
        </w:trPr>
        <w:tc>
          <w:tcPr>
            <w:tcW w:w="3397" w:type="dxa"/>
            <w:vMerge/>
            <w:tcBorders>
              <w:top w:val="nil"/>
              <w:left w:val="single" w:sz="4" w:space="0" w:color="auto"/>
              <w:bottom w:val="single" w:sz="4" w:space="0" w:color="auto"/>
              <w:right w:val="single" w:sz="4" w:space="0" w:color="auto"/>
            </w:tcBorders>
            <w:vAlign w:val="center"/>
            <w:hideMark/>
          </w:tcPr>
          <w:p w:rsidR="002F5A10" w:rsidRPr="002F5A10" w:rsidRDefault="002F5A10" w:rsidP="002F5A10">
            <w:pPr>
              <w:spacing w:after="0" w:line="240" w:lineRule="auto"/>
              <w:rPr>
                <w:rFonts w:ascii="Times New Roman" w:eastAsia="Times New Roman" w:hAnsi="Times New Roman" w:cs="Times New Roman"/>
                <w:color w:val="000000"/>
                <w:sz w:val="18"/>
                <w:szCs w:val="18"/>
                <w:lang w:eastAsia="bg-BG"/>
              </w:rPr>
            </w:pPr>
          </w:p>
        </w:tc>
        <w:tc>
          <w:tcPr>
            <w:tcW w:w="156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i/>
                <w:iCs/>
                <w:color w:val="000000"/>
                <w:sz w:val="18"/>
                <w:szCs w:val="18"/>
                <w:lang w:eastAsia="bg-BG"/>
              </w:rPr>
            </w:pPr>
            <w:r w:rsidRPr="002F5A10">
              <w:rPr>
                <w:rFonts w:ascii="Times New Roman" w:eastAsia="Times New Roman" w:hAnsi="Times New Roman" w:cs="Times New Roman"/>
                <w:i/>
                <w:iCs/>
                <w:color w:val="000000"/>
                <w:sz w:val="18"/>
                <w:szCs w:val="18"/>
                <w:lang w:eastAsia="bg-BG"/>
              </w:rPr>
              <w:t>Прогноза 2023 г.</w:t>
            </w:r>
          </w:p>
        </w:tc>
        <w:tc>
          <w:tcPr>
            <w:tcW w:w="142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2 649 330,3</w:t>
            </w:r>
          </w:p>
        </w:tc>
        <w:tc>
          <w:tcPr>
            <w:tcW w:w="160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2 575 357,1</w:t>
            </w:r>
          </w:p>
        </w:tc>
        <w:tc>
          <w:tcPr>
            <w:tcW w:w="16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73 973,2</w:t>
            </w:r>
          </w:p>
        </w:tc>
      </w:tr>
      <w:tr w:rsidR="002F5A10" w:rsidRPr="002F5A10" w:rsidTr="002F5A10">
        <w:trPr>
          <w:trHeight w:val="390"/>
        </w:trPr>
        <w:tc>
          <w:tcPr>
            <w:tcW w:w="3397" w:type="dxa"/>
            <w:vMerge/>
            <w:tcBorders>
              <w:top w:val="nil"/>
              <w:left w:val="single" w:sz="4" w:space="0" w:color="auto"/>
              <w:bottom w:val="single" w:sz="4" w:space="0" w:color="auto"/>
              <w:right w:val="single" w:sz="4" w:space="0" w:color="auto"/>
            </w:tcBorders>
            <w:vAlign w:val="center"/>
            <w:hideMark/>
          </w:tcPr>
          <w:p w:rsidR="002F5A10" w:rsidRPr="002F5A10" w:rsidRDefault="002F5A10" w:rsidP="002F5A10">
            <w:pPr>
              <w:spacing w:after="0" w:line="240" w:lineRule="auto"/>
              <w:rPr>
                <w:rFonts w:ascii="Times New Roman" w:eastAsia="Times New Roman" w:hAnsi="Times New Roman" w:cs="Times New Roman"/>
                <w:color w:val="000000"/>
                <w:sz w:val="18"/>
                <w:szCs w:val="18"/>
                <w:lang w:eastAsia="bg-BG"/>
              </w:rPr>
            </w:pPr>
          </w:p>
        </w:tc>
        <w:tc>
          <w:tcPr>
            <w:tcW w:w="156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i/>
                <w:iCs/>
                <w:color w:val="000000"/>
                <w:sz w:val="18"/>
                <w:szCs w:val="18"/>
                <w:lang w:eastAsia="bg-BG"/>
              </w:rPr>
            </w:pPr>
            <w:r w:rsidRPr="002F5A10">
              <w:rPr>
                <w:rFonts w:ascii="Times New Roman" w:eastAsia="Times New Roman" w:hAnsi="Times New Roman" w:cs="Times New Roman"/>
                <w:i/>
                <w:iCs/>
                <w:color w:val="000000"/>
                <w:sz w:val="18"/>
                <w:szCs w:val="18"/>
                <w:lang w:eastAsia="bg-BG"/>
              </w:rPr>
              <w:t>Прогноза 2024 г.</w:t>
            </w:r>
          </w:p>
        </w:tc>
        <w:tc>
          <w:tcPr>
            <w:tcW w:w="142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2 642 125,5</w:t>
            </w:r>
          </w:p>
        </w:tc>
        <w:tc>
          <w:tcPr>
            <w:tcW w:w="1600" w:type="dxa"/>
            <w:tcBorders>
              <w:top w:val="nil"/>
              <w:left w:val="nil"/>
              <w:bottom w:val="single" w:sz="4" w:space="0" w:color="auto"/>
              <w:right w:val="single" w:sz="4" w:space="0" w:color="auto"/>
            </w:tcBorders>
            <w:shd w:val="clear" w:color="000000" w:fill="F2F2F2"/>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2 575 780,1</w:t>
            </w:r>
          </w:p>
        </w:tc>
        <w:tc>
          <w:tcPr>
            <w:tcW w:w="1680" w:type="dxa"/>
            <w:tcBorders>
              <w:top w:val="nil"/>
              <w:left w:val="nil"/>
              <w:bottom w:val="single" w:sz="4" w:space="0" w:color="auto"/>
              <w:right w:val="single" w:sz="4" w:space="0" w:color="auto"/>
            </w:tcBorders>
            <w:shd w:val="clear" w:color="000000" w:fill="FFFFFF"/>
            <w:vAlign w:val="center"/>
            <w:hideMark/>
          </w:tcPr>
          <w:p w:rsidR="002F5A10" w:rsidRPr="002F5A10" w:rsidRDefault="002F5A10" w:rsidP="002F5A10">
            <w:pPr>
              <w:spacing w:after="0" w:line="240" w:lineRule="auto"/>
              <w:jc w:val="center"/>
              <w:rPr>
                <w:rFonts w:ascii="Times New Roman" w:eastAsia="Times New Roman" w:hAnsi="Times New Roman" w:cs="Times New Roman"/>
                <w:color w:val="000000"/>
                <w:sz w:val="18"/>
                <w:szCs w:val="18"/>
                <w:lang w:eastAsia="bg-BG"/>
              </w:rPr>
            </w:pPr>
            <w:r w:rsidRPr="002F5A10">
              <w:rPr>
                <w:rFonts w:ascii="Times New Roman" w:eastAsia="Times New Roman" w:hAnsi="Times New Roman" w:cs="Times New Roman"/>
                <w:color w:val="000000"/>
                <w:sz w:val="18"/>
                <w:szCs w:val="18"/>
                <w:lang w:eastAsia="bg-BG"/>
              </w:rPr>
              <w:t>66 345,4</w:t>
            </w:r>
          </w:p>
        </w:tc>
      </w:tr>
    </w:tbl>
    <w:p w:rsidR="00C22564" w:rsidRDefault="00C22564" w:rsidP="00A10F5E">
      <w:pPr>
        <w:pStyle w:val="ListParagraph"/>
        <w:tabs>
          <w:tab w:val="left" w:pos="851"/>
        </w:tabs>
        <w:spacing w:after="0" w:line="240" w:lineRule="auto"/>
        <w:jc w:val="both"/>
        <w:rPr>
          <w:rFonts w:ascii="Times New Roman" w:hAnsi="Times New Roman" w:cs="Times New Roman"/>
          <w:b/>
          <w:i/>
        </w:rPr>
      </w:pPr>
    </w:p>
    <w:p w:rsidR="00C626ED" w:rsidRDefault="006B2804" w:rsidP="00B57C85">
      <w:pPr>
        <w:pStyle w:val="ListParagraph"/>
        <w:numPr>
          <w:ilvl w:val="0"/>
          <w:numId w:val="1"/>
        </w:numPr>
        <w:spacing w:after="0" w:line="240" w:lineRule="auto"/>
        <w:ind w:firstLine="65"/>
        <w:jc w:val="both"/>
        <w:rPr>
          <w:rFonts w:ascii="Times New Roman" w:hAnsi="Times New Roman" w:cs="Times New Roman"/>
          <w:b/>
          <w:i/>
          <w:color w:val="0000CC"/>
        </w:rPr>
      </w:pPr>
      <w:r w:rsidRPr="00281129">
        <w:rPr>
          <w:rFonts w:ascii="Times New Roman" w:hAnsi="Times New Roman" w:cs="Times New Roman"/>
          <w:b/>
          <w:i/>
          <w:color w:val="0000CC"/>
        </w:rPr>
        <w:t>Ключови индикатори и целеви стойности (попълва се за всяка област на политика)</w:t>
      </w:r>
    </w:p>
    <w:p w:rsidR="001F782D" w:rsidRDefault="001F782D" w:rsidP="001F782D">
      <w:pPr>
        <w:pStyle w:val="ListParagraph"/>
        <w:spacing w:after="0" w:line="240" w:lineRule="auto"/>
        <w:ind w:left="567"/>
        <w:jc w:val="both"/>
        <w:rPr>
          <w:rFonts w:ascii="Times New Roman" w:hAnsi="Times New Roman" w:cs="Times New Roman"/>
          <w:b/>
          <w:i/>
          <w:color w:val="0000CC"/>
        </w:rPr>
      </w:pPr>
    </w:p>
    <w:p w:rsidR="00B84556" w:rsidRDefault="00B84556" w:rsidP="00A10F5E">
      <w:pPr>
        <w:spacing w:after="0" w:line="240" w:lineRule="auto"/>
        <w:rPr>
          <w:rFonts w:ascii="Times New Roman" w:hAnsi="Times New Roman" w:cs="Times New Roman"/>
          <w:b/>
          <w:bCs/>
          <w:sz w:val="16"/>
          <w:szCs w:val="16"/>
        </w:rPr>
      </w:pPr>
      <w:r w:rsidRPr="009A1627">
        <w:rPr>
          <w:rFonts w:ascii="Times New Roman" w:hAnsi="Times New Roman" w:cs="Times New Roman"/>
          <w:b/>
          <w:bCs/>
          <w:sz w:val="16"/>
          <w:szCs w:val="16"/>
        </w:rPr>
        <w:t>КЛЮЧОВИ ИНДИКАТОРИ ЗА ИЗПЪЛНЕНИЕ И ЦЕЛЕВИ СТОЙНОСТИ</w:t>
      </w:r>
    </w:p>
    <w:tbl>
      <w:tblPr>
        <w:tblStyle w:val="TableGrid1"/>
        <w:tblW w:w="11057"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851"/>
        <w:gridCol w:w="1275"/>
        <w:gridCol w:w="1134"/>
        <w:gridCol w:w="1267"/>
        <w:gridCol w:w="9"/>
        <w:gridCol w:w="1276"/>
      </w:tblGrid>
      <w:tr w:rsidR="002A5BB3" w:rsidRPr="00FB714C" w:rsidTr="000D33E0">
        <w:trPr>
          <w:gridAfter w:val="2"/>
          <w:wAfter w:w="1285" w:type="dxa"/>
          <w:trHeight w:val="566"/>
        </w:trPr>
        <w:tc>
          <w:tcPr>
            <w:tcW w:w="5245" w:type="dxa"/>
          </w:tcPr>
          <w:p w:rsidR="002A5BB3" w:rsidRPr="00FB714C" w:rsidRDefault="002A5BB3" w:rsidP="00A10F5E">
            <w:pPr>
              <w:jc w:val="center"/>
              <w:rPr>
                <w:rFonts w:ascii="Times New Roman" w:hAnsi="Times New Roman" w:cs="Times New Roman"/>
                <w:i/>
                <w:iCs/>
                <w:sz w:val="20"/>
                <w:szCs w:val="20"/>
              </w:rPr>
            </w:pPr>
            <w:r w:rsidRPr="00FB714C">
              <w:rPr>
                <w:rFonts w:ascii="Times New Roman" w:hAnsi="Times New Roman" w:cs="Times New Roman"/>
                <w:i/>
                <w:iCs/>
                <w:sz w:val="20"/>
                <w:szCs w:val="20"/>
              </w:rPr>
              <w:t>Област на политика:</w:t>
            </w:r>
          </w:p>
          <w:p w:rsidR="002A5BB3" w:rsidRPr="00FB714C" w:rsidRDefault="002A5BB3" w:rsidP="00054216">
            <w:pPr>
              <w:ind w:right="-316"/>
              <w:rPr>
                <w:rFonts w:ascii="Times New Roman" w:hAnsi="Times New Roman" w:cs="Times New Roman"/>
                <w:b/>
                <w:bCs/>
                <w:sz w:val="20"/>
                <w:szCs w:val="20"/>
              </w:rPr>
            </w:pPr>
            <w:r w:rsidRPr="00FB714C">
              <w:rPr>
                <w:rFonts w:ascii="Times New Roman" w:eastAsia="Times New Roman" w:hAnsi="Times New Roman" w:cs="Times New Roman"/>
                <w:color w:val="000000"/>
                <w:sz w:val="20"/>
                <w:szCs w:val="20"/>
                <w:lang w:eastAsia="bg-BG"/>
              </w:rPr>
              <w:lastRenderedPageBreak/>
              <w:t xml:space="preserve">Политика за </w:t>
            </w:r>
            <w:r w:rsidR="00054216">
              <w:rPr>
                <w:rFonts w:ascii="Times New Roman" w:eastAsia="Times New Roman" w:hAnsi="Times New Roman" w:cs="Times New Roman"/>
                <w:color w:val="000000"/>
                <w:sz w:val="20"/>
                <w:szCs w:val="20"/>
                <w:lang w:eastAsia="bg-BG"/>
              </w:rPr>
              <w:t xml:space="preserve">подобряване на инвестиционния процес, </w:t>
            </w:r>
            <w:r w:rsidRPr="00FB714C">
              <w:rPr>
                <w:rFonts w:ascii="Times New Roman" w:eastAsia="Times New Roman" w:hAnsi="Times New Roman" w:cs="Times New Roman"/>
                <w:color w:val="000000"/>
                <w:sz w:val="20"/>
                <w:szCs w:val="20"/>
                <w:lang w:eastAsia="bg-BG"/>
              </w:rPr>
              <w:t xml:space="preserve">поддържане, модернизация и изграждане </w:t>
            </w:r>
            <w:r w:rsidR="00054216">
              <w:rPr>
                <w:rFonts w:ascii="Times New Roman" w:eastAsia="Times New Roman" w:hAnsi="Times New Roman" w:cs="Times New Roman"/>
                <w:color w:val="000000"/>
                <w:sz w:val="20"/>
                <w:szCs w:val="20"/>
                <w:lang w:eastAsia="bg-BG"/>
              </w:rPr>
              <w:t>на техническата инфраструктура</w:t>
            </w:r>
          </w:p>
        </w:tc>
        <w:tc>
          <w:tcPr>
            <w:tcW w:w="851" w:type="dxa"/>
            <w:vMerge w:val="restart"/>
            <w:shd w:val="clear" w:color="auto" w:fill="F2F2F2" w:themeFill="background1" w:themeFillShade="F2"/>
          </w:tcPr>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lastRenderedPageBreak/>
              <w:t>Мерна единица</w:t>
            </w:r>
          </w:p>
        </w:tc>
        <w:tc>
          <w:tcPr>
            <w:tcW w:w="3676" w:type="dxa"/>
            <w:gridSpan w:val="3"/>
            <w:tcBorders>
              <w:top w:val="single" w:sz="4" w:space="0" w:color="auto"/>
              <w:bottom w:val="single" w:sz="4" w:space="0" w:color="auto"/>
            </w:tcBorders>
          </w:tcPr>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Целева стойност</w:t>
            </w:r>
          </w:p>
        </w:tc>
      </w:tr>
      <w:tr w:rsidR="002A5BB3" w:rsidRPr="00FB714C" w:rsidTr="000D33E0">
        <w:trPr>
          <w:gridAfter w:val="1"/>
          <w:wAfter w:w="1276" w:type="dxa"/>
          <w:trHeight w:val="115"/>
        </w:trPr>
        <w:tc>
          <w:tcPr>
            <w:tcW w:w="5245" w:type="dxa"/>
            <w:tcBorders>
              <w:bottom w:val="single" w:sz="4" w:space="0" w:color="auto"/>
            </w:tcBorders>
          </w:tcPr>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sz w:val="20"/>
                <w:szCs w:val="20"/>
              </w:rPr>
              <w:t>Наименование на индикатора</w:t>
            </w:r>
          </w:p>
        </w:tc>
        <w:tc>
          <w:tcPr>
            <w:tcW w:w="851" w:type="dxa"/>
            <w:vMerge/>
            <w:tcBorders>
              <w:bottom w:val="single" w:sz="4" w:space="0" w:color="auto"/>
            </w:tcBorders>
            <w:shd w:val="clear" w:color="auto" w:fill="F2F2F2" w:themeFill="background1" w:themeFillShade="F2"/>
          </w:tcPr>
          <w:p w:rsidR="002A5BB3" w:rsidRPr="00FB714C" w:rsidRDefault="002A5BB3" w:rsidP="00A10F5E">
            <w:pPr>
              <w:jc w:val="center"/>
              <w:rPr>
                <w:rFonts w:ascii="Times New Roman" w:hAnsi="Times New Roman" w:cs="Times New Roman"/>
                <w:b/>
                <w:bCs/>
                <w:sz w:val="20"/>
                <w:szCs w:val="20"/>
              </w:rPr>
            </w:pPr>
          </w:p>
        </w:tc>
        <w:tc>
          <w:tcPr>
            <w:tcW w:w="1275" w:type="dxa"/>
            <w:tcBorders>
              <w:top w:val="single" w:sz="4" w:space="0" w:color="auto"/>
              <w:bottom w:val="single" w:sz="4" w:space="0" w:color="auto"/>
            </w:tcBorders>
          </w:tcPr>
          <w:p w:rsidR="002A5BB3" w:rsidRPr="00FB714C" w:rsidRDefault="002A5BB3"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w:t>
            </w:r>
            <w:r w:rsidR="00FE0B47">
              <w:rPr>
                <w:rFonts w:ascii="Times New Roman" w:hAnsi="Times New Roman" w:cs="Times New Roman"/>
                <w:b/>
                <w:bCs/>
                <w:i/>
                <w:iCs/>
                <w:sz w:val="20"/>
                <w:szCs w:val="20"/>
              </w:rPr>
              <w:t>ект</w:t>
            </w:r>
          </w:p>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2</w:t>
            </w:r>
            <w:r w:rsidRPr="00FB714C">
              <w:rPr>
                <w:rFonts w:ascii="Times New Roman" w:hAnsi="Times New Roman" w:cs="Times New Roman"/>
                <w:b/>
                <w:bCs/>
                <w:i/>
                <w:iCs/>
                <w:sz w:val="20"/>
                <w:szCs w:val="20"/>
              </w:rPr>
              <w:t xml:space="preserve"> г.</w:t>
            </w:r>
          </w:p>
        </w:tc>
        <w:tc>
          <w:tcPr>
            <w:tcW w:w="1134" w:type="dxa"/>
            <w:tcBorders>
              <w:top w:val="single" w:sz="4" w:space="0" w:color="auto"/>
              <w:bottom w:val="single" w:sz="4" w:space="0" w:color="auto"/>
            </w:tcBorders>
          </w:tcPr>
          <w:p w:rsidR="002A5BB3" w:rsidRPr="00FB714C" w:rsidRDefault="002A5BB3"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Прогноза</w:t>
            </w:r>
          </w:p>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3</w:t>
            </w:r>
            <w:r w:rsidRPr="00FB714C">
              <w:rPr>
                <w:rFonts w:ascii="Times New Roman" w:hAnsi="Times New Roman" w:cs="Times New Roman"/>
                <w:b/>
                <w:bCs/>
                <w:i/>
                <w:iCs/>
                <w:sz w:val="20"/>
                <w:szCs w:val="20"/>
              </w:rPr>
              <w:t xml:space="preserve"> г.</w:t>
            </w:r>
          </w:p>
        </w:tc>
        <w:tc>
          <w:tcPr>
            <w:tcW w:w="1276" w:type="dxa"/>
            <w:gridSpan w:val="2"/>
            <w:tcBorders>
              <w:top w:val="single" w:sz="4" w:space="0" w:color="auto"/>
              <w:bottom w:val="single" w:sz="4" w:space="0" w:color="auto"/>
            </w:tcBorders>
          </w:tcPr>
          <w:p w:rsidR="002A5BB3" w:rsidRPr="00FB714C" w:rsidRDefault="002A5BB3" w:rsidP="00A10F5E">
            <w:pPr>
              <w:jc w:val="center"/>
              <w:rPr>
                <w:rFonts w:ascii="Times New Roman" w:hAnsi="Times New Roman" w:cs="Times New Roman"/>
                <w:b/>
                <w:bCs/>
                <w:i/>
                <w:iCs/>
                <w:sz w:val="20"/>
                <w:szCs w:val="20"/>
              </w:rPr>
            </w:pPr>
            <w:r w:rsidRPr="00FB714C">
              <w:rPr>
                <w:rFonts w:ascii="Times New Roman" w:hAnsi="Times New Roman" w:cs="Times New Roman"/>
                <w:b/>
                <w:bCs/>
                <w:i/>
                <w:iCs/>
                <w:sz w:val="20"/>
                <w:szCs w:val="20"/>
              </w:rPr>
              <w:t>Прогноза</w:t>
            </w:r>
          </w:p>
          <w:p w:rsidR="002A5BB3" w:rsidRPr="00FB714C" w:rsidRDefault="002A5BB3" w:rsidP="00A10F5E">
            <w:pPr>
              <w:jc w:val="center"/>
              <w:rPr>
                <w:rFonts w:ascii="Times New Roman" w:hAnsi="Times New Roman" w:cs="Times New Roman"/>
                <w:b/>
                <w:bCs/>
                <w:sz w:val="20"/>
                <w:szCs w:val="20"/>
              </w:rPr>
            </w:pPr>
            <w:r w:rsidRPr="00FB714C">
              <w:rPr>
                <w:rFonts w:ascii="Times New Roman" w:hAnsi="Times New Roman" w:cs="Times New Roman"/>
                <w:b/>
                <w:bCs/>
                <w:i/>
                <w:iCs/>
                <w:sz w:val="20"/>
                <w:szCs w:val="20"/>
              </w:rPr>
              <w:t>20</w:t>
            </w:r>
            <w:r w:rsidRPr="00FB714C">
              <w:rPr>
                <w:rFonts w:ascii="Times New Roman" w:hAnsi="Times New Roman" w:cs="Times New Roman"/>
                <w:b/>
                <w:bCs/>
                <w:i/>
                <w:iCs/>
                <w:sz w:val="20"/>
                <w:szCs w:val="20"/>
                <w:lang w:val="en-US"/>
              </w:rPr>
              <w:t>2</w:t>
            </w:r>
            <w:r w:rsidR="006F4BDD" w:rsidRPr="00FB714C">
              <w:rPr>
                <w:rFonts w:ascii="Times New Roman" w:hAnsi="Times New Roman" w:cs="Times New Roman"/>
                <w:b/>
                <w:bCs/>
                <w:i/>
                <w:iCs/>
                <w:sz w:val="20"/>
                <w:szCs w:val="20"/>
              </w:rPr>
              <w:t>4</w:t>
            </w:r>
            <w:r w:rsidRPr="00FB714C">
              <w:rPr>
                <w:rFonts w:ascii="Times New Roman" w:hAnsi="Times New Roman" w:cs="Times New Roman"/>
                <w:b/>
                <w:bCs/>
                <w:i/>
                <w:iCs/>
                <w:sz w:val="20"/>
                <w:szCs w:val="20"/>
              </w:rPr>
              <w:t xml:space="preserve"> г.</w:t>
            </w:r>
          </w:p>
        </w:tc>
      </w:tr>
      <w:tr w:rsidR="00AA08F4" w:rsidRPr="00FB714C" w:rsidTr="00A10F5E">
        <w:trPr>
          <w:gridAfter w:val="1"/>
          <w:wAfter w:w="1276" w:type="dxa"/>
          <w:trHeight w:val="246"/>
        </w:trPr>
        <w:tc>
          <w:tcPr>
            <w:tcW w:w="5245" w:type="dxa"/>
            <w:tcBorders>
              <w:top w:val="single" w:sz="4" w:space="0" w:color="auto"/>
              <w:bottom w:val="single" w:sz="4" w:space="0" w:color="auto"/>
            </w:tcBorders>
            <w:vAlign w:val="center"/>
          </w:tcPr>
          <w:p w:rsidR="00AA08F4" w:rsidRPr="00FB714C" w:rsidRDefault="00AA08F4" w:rsidP="00A10F5E">
            <w:pPr>
              <w:rPr>
                <w:rFonts w:ascii="Times New Roman" w:hAnsi="Times New Roman" w:cs="Times New Roman"/>
                <w:b/>
                <w:bCs/>
                <w:sz w:val="20"/>
                <w:szCs w:val="20"/>
              </w:rPr>
            </w:pPr>
            <w:r w:rsidRPr="00FB714C">
              <w:rPr>
                <w:rFonts w:ascii="Times New Roman" w:hAnsi="Times New Roman" w:cs="Times New Roman"/>
                <w:sz w:val="20"/>
                <w:szCs w:val="20"/>
              </w:rPr>
              <w:t>1.</w:t>
            </w:r>
            <w:r w:rsidRPr="00FB714C">
              <w:rPr>
                <w:rFonts w:ascii="Times New Roman" w:hAnsi="Times New Roman" w:cs="Times New Roman"/>
                <w:b/>
                <w:sz w:val="20"/>
                <w:szCs w:val="20"/>
              </w:rPr>
              <w:t xml:space="preserve"> </w:t>
            </w:r>
            <w:r w:rsidRPr="00FB714C">
              <w:rPr>
                <w:rFonts w:ascii="Times New Roman" w:hAnsi="Times New Roman" w:cs="Times New Roman"/>
                <w:sz w:val="20"/>
                <w:szCs w:val="20"/>
              </w:rPr>
              <w:t>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услугата отвеждане и пречистване на отпадъчните води.</w:t>
            </w:r>
          </w:p>
        </w:tc>
        <w:tc>
          <w:tcPr>
            <w:tcW w:w="851" w:type="dxa"/>
            <w:tcBorders>
              <w:top w:val="single" w:sz="4" w:space="0" w:color="auto"/>
              <w:bottom w:val="single" w:sz="4" w:space="0" w:color="auto"/>
            </w:tcBorders>
            <w:shd w:val="clear" w:color="auto" w:fill="F2F2F2" w:themeFill="background1" w:themeFillShade="F2"/>
            <w:vAlign w:val="center"/>
          </w:tcPr>
          <w:p w:rsidR="00AA08F4" w:rsidRPr="00FB714C" w:rsidRDefault="00AA08F4" w:rsidP="00761082">
            <w:pPr>
              <w:jc w:val="center"/>
              <w:rPr>
                <w:rFonts w:ascii="Times New Roman" w:hAnsi="Times New Roman" w:cs="Times New Roman"/>
                <w:sz w:val="20"/>
                <w:szCs w:val="20"/>
              </w:rPr>
            </w:pPr>
          </w:p>
          <w:p w:rsidR="00AA08F4" w:rsidRPr="00FB714C" w:rsidRDefault="00AA08F4" w:rsidP="00761082">
            <w:pPr>
              <w:jc w:val="center"/>
              <w:rPr>
                <w:rFonts w:ascii="Times New Roman" w:hAnsi="Times New Roman" w:cs="Times New Roman"/>
                <w:sz w:val="20"/>
                <w:szCs w:val="20"/>
              </w:rPr>
            </w:pPr>
            <w:r w:rsidRPr="00FB714C">
              <w:rPr>
                <w:rFonts w:ascii="Times New Roman" w:hAnsi="Times New Roman" w:cs="Times New Roman"/>
                <w:sz w:val="20"/>
                <w:szCs w:val="20"/>
              </w:rPr>
              <w:t>брой</w:t>
            </w:r>
          </w:p>
          <w:p w:rsidR="00AA08F4" w:rsidRPr="00FB714C" w:rsidRDefault="00AA08F4" w:rsidP="00761082">
            <w:pPr>
              <w:jc w:val="center"/>
              <w:rPr>
                <w:rFonts w:ascii="Times New Roman" w:hAnsi="Times New Roman" w:cs="Times New Roman"/>
                <w:b/>
                <w:bCs/>
                <w:sz w:val="20"/>
                <w:szCs w:val="20"/>
                <w:lang w:val="en-US"/>
              </w:rPr>
            </w:pPr>
            <w:r w:rsidRPr="00FB714C">
              <w:rPr>
                <w:rFonts w:ascii="Times New Roman" w:hAnsi="Times New Roman" w:cs="Times New Roman"/>
                <w:sz w:val="20"/>
                <w:szCs w:val="20"/>
              </w:rPr>
              <w:t>жители</w:t>
            </w:r>
          </w:p>
        </w:tc>
        <w:tc>
          <w:tcPr>
            <w:tcW w:w="1275" w:type="dxa"/>
            <w:tcBorders>
              <w:top w:val="single" w:sz="4" w:space="0" w:color="auto"/>
              <w:bottom w:val="single" w:sz="4" w:space="0" w:color="auto"/>
            </w:tcBorders>
            <w:vAlign w:val="center"/>
          </w:tcPr>
          <w:p w:rsidR="00AA08F4" w:rsidRPr="00FB714C" w:rsidRDefault="00AA08F4" w:rsidP="00761082">
            <w:pPr>
              <w:jc w:val="center"/>
              <w:rPr>
                <w:rFonts w:ascii="Times New Roman" w:hAnsi="Times New Roman" w:cs="Times New Roman"/>
                <w:bCs/>
                <w:sz w:val="20"/>
                <w:szCs w:val="20"/>
              </w:rPr>
            </w:pPr>
          </w:p>
          <w:p w:rsidR="00AA08F4" w:rsidRPr="00FB714C" w:rsidRDefault="00AA08F4" w:rsidP="00761082">
            <w:pPr>
              <w:jc w:val="center"/>
              <w:rPr>
                <w:rFonts w:ascii="Times New Roman" w:hAnsi="Times New Roman" w:cs="Times New Roman"/>
                <w:bCs/>
                <w:sz w:val="20"/>
                <w:szCs w:val="20"/>
              </w:rPr>
            </w:pPr>
          </w:p>
          <w:p w:rsidR="00AA08F4" w:rsidRPr="00FB714C" w:rsidRDefault="00642CF6" w:rsidP="00761082">
            <w:pPr>
              <w:jc w:val="center"/>
              <w:rPr>
                <w:rFonts w:ascii="Times New Roman" w:hAnsi="Times New Roman" w:cs="Times New Roman"/>
                <w:bCs/>
                <w:sz w:val="20"/>
                <w:szCs w:val="20"/>
                <w:lang w:val="en-US"/>
              </w:rPr>
            </w:pPr>
            <w:r w:rsidRPr="00FB714C">
              <w:rPr>
                <w:rFonts w:ascii="Times New Roman" w:hAnsi="Times New Roman" w:cs="Times New Roman"/>
                <w:bCs/>
                <w:sz w:val="20"/>
                <w:szCs w:val="20"/>
              </w:rPr>
              <w:t>57</w:t>
            </w:r>
            <w:r w:rsidR="00AA08F4" w:rsidRPr="00FB714C">
              <w:rPr>
                <w:rFonts w:ascii="Times New Roman" w:hAnsi="Times New Roman" w:cs="Times New Roman"/>
                <w:bCs/>
                <w:sz w:val="20"/>
                <w:szCs w:val="20"/>
              </w:rPr>
              <w:t>0</w:t>
            </w:r>
            <w:r w:rsidR="00AA08F4" w:rsidRPr="00FB714C">
              <w:rPr>
                <w:rFonts w:ascii="Times New Roman" w:hAnsi="Times New Roman" w:cs="Times New Roman"/>
                <w:bCs/>
                <w:sz w:val="20"/>
                <w:szCs w:val="20"/>
                <w:lang w:val="en-US"/>
              </w:rPr>
              <w:t xml:space="preserve"> 000</w:t>
            </w:r>
          </w:p>
        </w:tc>
        <w:tc>
          <w:tcPr>
            <w:tcW w:w="1134" w:type="dxa"/>
            <w:tcBorders>
              <w:top w:val="single" w:sz="4" w:space="0" w:color="auto"/>
              <w:bottom w:val="single" w:sz="4" w:space="0" w:color="auto"/>
            </w:tcBorders>
            <w:vAlign w:val="center"/>
          </w:tcPr>
          <w:p w:rsidR="00AA08F4" w:rsidRPr="00FB714C" w:rsidRDefault="00AA08F4" w:rsidP="00761082">
            <w:pPr>
              <w:jc w:val="center"/>
              <w:rPr>
                <w:rFonts w:ascii="Times New Roman" w:hAnsi="Times New Roman" w:cs="Times New Roman"/>
                <w:bCs/>
                <w:sz w:val="20"/>
                <w:szCs w:val="20"/>
              </w:rPr>
            </w:pPr>
          </w:p>
          <w:p w:rsidR="00AA08F4" w:rsidRPr="00FB714C" w:rsidRDefault="00AA08F4" w:rsidP="00761082">
            <w:pPr>
              <w:jc w:val="center"/>
              <w:rPr>
                <w:rFonts w:ascii="Times New Roman" w:hAnsi="Times New Roman" w:cs="Times New Roman"/>
                <w:bCs/>
                <w:sz w:val="20"/>
                <w:szCs w:val="20"/>
              </w:rPr>
            </w:pPr>
          </w:p>
          <w:p w:rsidR="00AA08F4" w:rsidRPr="00FB714C" w:rsidRDefault="00642CF6" w:rsidP="00761082">
            <w:pPr>
              <w:jc w:val="center"/>
              <w:rPr>
                <w:rFonts w:ascii="Times New Roman" w:hAnsi="Times New Roman" w:cs="Times New Roman"/>
                <w:bCs/>
                <w:sz w:val="20"/>
                <w:szCs w:val="20"/>
                <w:lang w:val="en-US"/>
              </w:rPr>
            </w:pPr>
            <w:r w:rsidRPr="00FB714C">
              <w:rPr>
                <w:rFonts w:ascii="Times New Roman" w:hAnsi="Times New Roman" w:cs="Times New Roman"/>
                <w:bCs/>
                <w:sz w:val="20"/>
                <w:szCs w:val="20"/>
              </w:rPr>
              <w:t>57</w:t>
            </w:r>
            <w:r w:rsidR="00AA08F4" w:rsidRPr="00FB714C">
              <w:rPr>
                <w:rFonts w:ascii="Times New Roman" w:hAnsi="Times New Roman" w:cs="Times New Roman"/>
                <w:bCs/>
                <w:sz w:val="20"/>
                <w:szCs w:val="20"/>
              </w:rPr>
              <w:t>0</w:t>
            </w:r>
            <w:r w:rsidR="00AA08F4" w:rsidRPr="00FB714C">
              <w:rPr>
                <w:rFonts w:ascii="Times New Roman" w:hAnsi="Times New Roman" w:cs="Times New Roman"/>
                <w:bCs/>
                <w:sz w:val="20"/>
                <w:szCs w:val="20"/>
                <w:lang w:val="en-US"/>
              </w:rPr>
              <w:t xml:space="preserve"> 000</w:t>
            </w:r>
          </w:p>
        </w:tc>
        <w:tc>
          <w:tcPr>
            <w:tcW w:w="1276" w:type="dxa"/>
            <w:gridSpan w:val="2"/>
            <w:tcBorders>
              <w:top w:val="single" w:sz="4" w:space="0" w:color="auto"/>
              <w:bottom w:val="single" w:sz="4" w:space="0" w:color="auto"/>
            </w:tcBorders>
            <w:vAlign w:val="center"/>
          </w:tcPr>
          <w:p w:rsidR="00AA08F4" w:rsidRPr="00FB714C" w:rsidRDefault="00AA08F4" w:rsidP="00761082">
            <w:pPr>
              <w:jc w:val="center"/>
              <w:rPr>
                <w:rFonts w:ascii="Times New Roman" w:hAnsi="Times New Roman" w:cs="Times New Roman"/>
                <w:b/>
                <w:bCs/>
                <w:sz w:val="20"/>
                <w:szCs w:val="20"/>
              </w:rPr>
            </w:pPr>
          </w:p>
          <w:p w:rsidR="00AA08F4" w:rsidRPr="00FB714C" w:rsidRDefault="00AA08F4" w:rsidP="00761082">
            <w:pPr>
              <w:jc w:val="center"/>
              <w:rPr>
                <w:rFonts w:ascii="Times New Roman" w:hAnsi="Times New Roman" w:cs="Times New Roman"/>
                <w:b/>
                <w:bCs/>
                <w:sz w:val="20"/>
                <w:szCs w:val="20"/>
              </w:rPr>
            </w:pPr>
          </w:p>
          <w:p w:rsidR="00AA08F4" w:rsidRPr="00FB714C" w:rsidRDefault="00642CF6" w:rsidP="00761082">
            <w:pPr>
              <w:jc w:val="center"/>
              <w:rPr>
                <w:rFonts w:ascii="Times New Roman" w:hAnsi="Times New Roman" w:cs="Times New Roman"/>
                <w:bCs/>
                <w:sz w:val="20"/>
                <w:szCs w:val="20"/>
              </w:rPr>
            </w:pPr>
            <w:r w:rsidRPr="00FB714C">
              <w:rPr>
                <w:rFonts w:ascii="Times New Roman" w:hAnsi="Times New Roman" w:cs="Times New Roman"/>
                <w:bCs/>
                <w:sz w:val="20"/>
                <w:szCs w:val="20"/>
              </w:rPr>
              <w:t>57</w:t>
            </w:r>
            <w:r w:rsidR="00AA08F4" w:rsidRPr="00FB714C">
              <w:rPr>
                <w:rFonts w:ascii="Times New Roman" w:hAnsi="Times New Roman" w:cs="Times New Roman"/>
                <w:bCs/>
                <w:sz w:val="20"/>
                <w:szCs w:val="20"/>
              </w:rPr>
              <w:t>0 000</w:t>
            </w:r>
          </w:p>
        </w:tc>
      </w:tr>
      <w:tr w:rsidR="001A53D6" w:rsidRPr="00FB714C" w:rsidTr="00A10F5E">
        <w:trPr>
          <w:gridAfter w:val="1"/>
          <w:wAfter w:w="1276" w:type="dxa"/>
          <w:trHeight w:val="487"/>
        </w:trPr>
        <w:tc>
          <w:tcPr>
            <w:tcW w:w="5245" w:type="dxa"/>
            <w:tcBorders>
              <w:top w:val="single" w:sz="4" w:space="0" w:color="auto"/>
              <w:bottom w:val="single" w:sz="4" w:space="0" w:color="auto"/>
            </w:tcBorders>
            <w:vAlign w:val="center"/>
          </w:tcPr>
          <w:p w:rsidR="001A53D6" w:rsidRPr="00FB714C" w:rsidRDefault="00F26E22" w:rsidP="00A10F5E">
            <w:pPr>
              <w:rPr>
                <w:rFonts w:ascii="Times New Roman" w:hAnsi="Times New Roman" w:cs="Times New Roman"/>
                <w:sz w:val="20"/>
                <w:szCs w:val="20"/>
              </w:rPr>
            </w:pPr>
            <w:r w:rsidRPr="00FB714C">
              <w:rPr>
                <w:rFonts w:ascii="Times New Roman" w:hAnsi="Times New Roman" w:cs="Times New Roman"/>
                <w:sz w:val="20"/>
                <w:szCs w:val="20"/>
              </w:rPr>
              <w:t>2</w:t>
            </w:r>
            <w:r w:rsidR="001A53D6" w:rsidRPr="00FB714C">
              <w:rPr>
                <w:rFonts w:ascii="Times New Roman" w:hAnsi="Times New Roman" w:cs="Times New Roman"/>
                <w:sz w:val="20"/>
                <w:szCs w:val="20"/>
              </w:rPr>
              <w:t>. Решения на Министерския съвет за изменения и допълнения на списък на общинските пътища</w:t>
            </w:r>
          </w:p>
        </w:tc>
        <w:tc>
          <w:tcPr>
            <w:tcW w:w="851" w:type="dxa"/>
            <w:tcBorders>
              <w:top w:val="single" w:sz="4" w:space="0" w:color="auto"/>
              <w:bottom w:val="single" w:sz="4" w:space="0" w:color="auto"/>
            </w:tcBorders>
            <w:shd w:val="clear" w:color="auto" w:fill="F2F2F2" w:themeFill="background1" w:themeFillShade="F2"/>
            <w:vAlign w:val="center"/>
          </w:tcPr>
          <w:p w:rsidR="001A53D6" w:rsidRPr="00FB714C" w:rsidRDefault="00761082" w:rsidP="00761082">
            <w:pPr>
              <w:jc w:val="center"/>
              <w:rPr>
                <w:rFonts w:ascii="Times New Roman" w:hAnsi="Times New Roman" w:cs="Times New Roman"/>
                <w:sz w:val="20"/>
                <w:szCs w:val="20"/>
              </w:rPr>
            </w:pPr>
            <w:r>
              <w:rPr>
                <w:rFonts w:ascii="Times New Roman" w:hAnsi="Times New Roman" w:cs="Times New Roman"/>
                <w:sz w:val="20"/>
                <w:szCs w:val="20"/>
              </w:rPr>
              <w:t>брой</w:t>
            </w:r>
          </w:p>
        </w:tc>
        <w:tc>
          <w:tcPr>
            <w:tcW w:w="1275" w:type="dxa"/>
            <w:tcBorders>
              <w:top w:val="single" w:sz="4" w:space="0" w:color="auto"/>
              <w:bottom w:val="single" w:sz="4" w:space="0" w:color="auto"/>
            </w:tcBorders>
            <w:vAlign w:val="center"/>
          </w:tcPr>
          <w:p w:rsidR="001A53D6" w:rsidRPr="00FB714C" w:rsidRDefault="001A53D6" w:rsidP="00761082">
            <w:pPr>
              <w:jc w:val="center"/>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c>
          <w:tcPr>
            <w:tcW w:w="1134" w:type="dxa"/>
            <w:tcBorders>
              <w:top w:val="single" w:sz="4" w:space="0" w:color="auto"/>
              <w:bottom w:val="single" w:sz="4" w:space="0" w:color="auto"/>
            </w:tcBorders>
            <w:vAlign w:val="center"/>
          </w:tcPr>
          <w:p w:rsidR="001A53D6" w:rsidRPr="00FB714C" w:rsidRDefault="001A53D6" w:rsidP="00761082">
            <w:pPr>
              <w:jc w:val="center"/>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c>
          <w:tcPr>
            <w:tcW w:w="1276" w:type="dxa"/>
            <w:gridSpan w:val="2"/>
            <w:tcBorders>
              <w:top w:val="single" w:sz="4" w:space="0" w:color="auto"/>
              <w:bottom w:val="single" w:sz="4" w:space="0" w:color="auto"/>
            </w:tcBorders>
            <w:vAlign w:val="center"/>
          </w:tcPr>
          <w:p w:rsidR="001A53D6" w:rsidRPr="00FB714C" w:rsidRDefault="001A53D6" w:rsidP="00761082">
            <w:pPr>
              <w:jc w:val="center"/>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r>
      <w:tr w:rsidR="001A53D6" w:rsidRPr="00FB714C" w:rsidTr="00CD19BF">
        <w:trPr>
          <w:gridAfter w:val="1"/>
          <w:wAfter w:w="1276" w:type="dxa"/>
          <w:trHeight w:val="357"/>
        </w:trPr>
        <w:tc>
          <w:tcPr>
            <w:tcW w:w="5245" w:type="dxa"/>
            <w:tcBorders>
              <w:top w:val="single" w:sz="4" w:space="0" w:color="auto"/>
              <w:bottom w:val="single" w:sz="4" w:space="0" w:color="auto"/>
            </w:tcBorders>
            <w:vAlign w:val="center"/>
          </w:tcPr>
          <w:p w:rsidR="001A53D6" w:rsidRPr="00FB714C" w:rsidRDefault="00F26E22" w:rsidP="00A10F5E">
            <w:pPr>
              <w:rPr>
                <w:rFonts w:ascii="Times New Roman" w:hAnsi="Times New Roman" w:cs="Times New Roman"/>
                <w:sz w:val="20"/>
                <w:szCs w:val="20"/>
              </w:rPr>
            </w:pPr>
            <w:r w:rsidRPr="00FB714C">
              <w:rPr>
                <w:rFonts w:ascii="Times New Roman" w:hAnsi="Times New Roman" w:cs="Times New Roman"/>
                <w:sz w:val="20"/>
                <w:szCs w:val="20"/>
              </w:rPr>
              <w:t>3</w:t>
            </w:r>
            <w:r w:rsidR="001A53D6" w:rsidRPr="00FB714C">
              <w:rPr>
                <w:rFonts w:ascii="Times New Roman" w:hAnsi="Times New Roman" w:cs="Times New Roman"/>
                <w:sz w:val="20"/>
                <w:szCs w:val="20"/>
              </w:rPr>
              <w:t xml:space="preserve">. Завършен </w:t>
            </w:r>
            <w:r w:rsidR="000B4309">
              <w:rPr>
                <w:rFonts w:ascii="Times New Roman" w:hAnsi="Times New Roman" w:cs="Times New Roman"/>
                <w:sz w:val="20"/>
                <w:szCs w:val="20"/>
              </w:rPr>
              <w:t>пътен обект и/или благоустройствен обект</w:t>
            </w:r>
            <w:r w:rsidR="001A53D6" w:rsidRPr="00FB714C">
              <w:rPr>
                <w:rFonts w:ascii="Times New Roman" w:hAnsi="Times New Roman" w:cs="Times New Roman"/>
                <w:sz w:val="20"/>
                <w:szCs w:val="20"/>
              </w:rPr>
              <w:t xml:space="preserve"> </w:t>
            </w:r>
            <w:r w:rsidR="002B07FF">
              <w:rPr>
                <w:rStyle w:val="FootnoteReference"/>
                <w:rFonts w:ascii="Times New Roman" w:hAnsi="Times New Roman" w:cs="Times New Roman"/>
                <w:sz w:val="20"/>
                <w:szCs w:val="20"/>
              </w:rPr>
              <w:footnoteReference w:id="1"/>
            </w:r>
          </w:p>
        </w:tc>
        <w:tc>
          <w:tcPr>
            <w:tcW w:w="851" w:type="dxa"/>
            <w:tcBorders>
              <w:top w:val="single" w:sz="4" w:space="0" w:color="auto"/>
              <w:bottom w:val="single" w:sz="4" w:space="0" w:color="auto"/>
            </w:tcBorders>
            <w:shd w:val="clear" w:color="auto" w:fill="F2F2F2" w:themeFill="background1" w:themeFillShade="F2"/>
            <w:vAlign w:val="center"/>
          </w:tcPr>
          <w:p w:rsidR="001A53D6" w:rsidRPr="00FB714C" w:rsidRDefault="00761082" w:rsidP="00761082">
            <w:pPr>
              <w:jc w:val="center"/>
              <w:rPr>
                <w:rFonts w:ascii="Times New Roman" w:hAnsi="Times New Roman" w:cs="Times New Roman"/>
                <w:sz w:val="20"/>
                <w:szCs w:val="20"/>
              </w:rPr>
            </w:pPr>
            <w:r>
              <w:rPr>
                <w:rFonts w:ascii="Times New Roman" w:hAnsi="Times New Roman" w:cs="Times New Roman"/>
                <w:sz w:val="20"/>
                <w:szCs w:val="20"/>
              </w:rPr>
              <w:t>брой</w:t>
            </w:r>
          </w:p>
        </w:tc>
        <w:tc>
          <w:tcPr>
            <w:tcW w:w="1275" w:type="dxa"/>
            <w:tcBorders>
              <w:top w:val="single" w:sz="4" w:space="0" w:color="auto"/>
              <w:bottom w:val="single" w:sz="4" w:space="0" w:color="auto"/>
            </w:tcBorders>
            <w:vAlign w:val="center"/>
          </w:tcPr>
          <w:p w:rsidR="001A53D6" w:rsidRPr="00EE699D" w:rsidRDefault="00EE699D" w:rsidP="0076108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6</w:t>
            </w:r>
          </w:p>
        </w:tc>
        <w:tc>
          <w:tcPr>
            <w:tcW w:w="1134" w:type="dxa"/>
            <w:tcBorders>
              <w:top w:val="single" w:sz="4" w:space="0" w:color="auto"/>
              <w:bottom w:val="single" w:sz="4" w:space="0" w:color="auto"/>
            </w:tcBorders>
            <w:vAlign w:val="center"/>
          </w:tcPr>
          <w:p w:rsidR="001A53D6" w:rsidRPr="00EE699D" w:rsidRDefault="00EE699D" w:rsidP="0076108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7</w:t>
            </w:r>
          </w:p>
        </w:tc>
        <w:tc>
          <w:tcPr>
            <w:tcW w:w="1276" w:type="dxa"/>
            <w:gridSpan w:val="2"/>
            <w:tcBorders>
              <w:top w:val="single" w:sz="4" w:space="0" w:color="auto"/>
              <w:bottom w:val="single" w:sz="4" w:space="0" w:color="auto"/>
            </w:tcBorders>
            <w:vAlign w:val="center"/>
          </w:tcPr>
          <w:p w:rsidR="001A53D6" w:rsidRPr="00FB714C" w:rsidRDefault="001A53D6" w:rsidP="00761082">
            <w:pPr>
              <w:jc w:val="center"/>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1</w:t>
            </w:r>
          </w:p>
        </w:tc>
      </w:tr>
      <w:tr w:rsidR="001A53D6" w:rsidRPr="00FB714C" w:rsidTr="00CD19BF">
        <w:trPr>
          <w:gridAfter w:val="1"/>
          <w:wAfter w:w="1276" w:type="dxa"/>
          <w:trHeight w:val="357"/>
        </w:trPr>
        <w:tc>
          <w:tcPr>
            <w:tcW w:w="5245" w:type="dxa"/>
            <w:tcBorders>
              <w:top w:val="single" w:sz="4" w:space="0" w:color="auto"/>
              <w:bottom w:val="single" w:sz="4" w:space="0" w:color="auto"/>
            </w:tcBorders>
            <w:vAlign w:val="center"/>
          </w:tcPr>
          <w:p w:rsidR="001A53D6" w:rsidRPr="00FB714C" w:rsidRDefault="00F26E22" w:rsidP="00EE699D">
            <w:pPr>
              <w:rPr>
                <w:rFonts w:ascii="Times New Roman" w:hAnsi="Times New Roman" w:cs="Times New Roman"/>
                <w:sz w:val="20"/>
                <w:szCs w:val="20"/>
              </w:rPr>
            </w:pPr>
            <w:r w:rsidRPr="00FB714C">
              <w:rPr>
                <w:rFonts w:ascii="Times New Roman" w:hAnsi="Times New Roman" w:cs="Times New Roman"/>
                <w:sz w:val="20"/>
                <w:szCs w:val="20"/>
              </w:rPr>
              <w:t>4</w:t>
            </w:r>
            <w:r w:rsidR="001A53D6" w:rsidRPr="00FB714C">
              <w:rPr>
                <w:rFonts w:ascii="Times New Roman" w:hAnsi="Times New Roman" w:cs="Times New Roman"/>
                <w:sz w:val="20"/>
                <w:szCs w:val="20"/>
              </w:rPr>
              <w:t xml:space="preserve">.Завършени геозащитни </w:t>
            </w:r>
            <w:r w:rsidR="00EE699D">
              <w:rPr>
                <w:rFonts w:ascii="Times New Roman" w:hAnsi="Times New Roman" w:cs="Times New Roman"/>
                <w:sz w:val="20"/>
                <w:szCs w:val="20"/>
              </w:rPr>
              <w:t>обекти</w:t>
            </w:r>
          </w:p>
        </w:tc>
        <w:tc>
          <w:tcPr>
            <w:tcW w:w="851" w:type="dxa"/>
            <w:tcBorders>
              <w:top w:val="single" w:sz="4" w:space="0" w:color="auto"/>
              <w:bottom w:val="single" w:sz="4" w:space="0" w:color="auto"/>
            </w:tcBorders>
            <w:shd w:val="clear" w:color="auto" w:fill="F2F2F2" w:themeFill="background1" w:themeFillShade="F2"/>
            <w:vAlign w:val="center"/>
          </w:tcPr>
          <w:p w:rsidR="001A53D6" w:rsidRPr="00EE699D" w:rsidRDefault="001A53D6" w:rsidP="00EE699D">
            <w:pPr>
              <w:jc w:val="center"/>
              <w:rPr>
                <w:rFonts w:ascii="Times New Roman" w:hAnsi="Times New Roman" w:cs="Times New Roman"/>
                <w:sz w:val="20"/>
                <w:szCs w:val="20"/>
                <w:lang w:val="en-US"/>
              </w:rPr>
            </w:pPr>
            <w:r w:rsidRPr="00FB714C">
              <w:rPr>
                <w:rFonts w:ascii="Times New Roman" w:hAnsi="Times New Roman" w:cs="Times New Roman"/>
                <w:sz w:val="20"/>
                <w:szCs w:val="20"/>
              </w:rPr>
              <w:t>бр./</w:t>
            </w:r>
            <w:r w:rsidR="00EE699D">
              <w:rPr>
                <w:rFonts w:ascii="Times New Roman" w:hAnsi="Times New Roman" w:cs="Times New Roman"/>
                <w:sz w:val="20"/>
                <w:szCs w:val="20"/>
                <w:lang w:val="en-US"/>
              </w:rPr>
              <w:t>%</w:t>
            </w:r>
          </w:p>
        </w:tc>
        <w:tc>
          <w:tcPr>
            <w:tcW w:w="1275" w:type="dxa"/>
            <w:tcBorders>
              <w:top w:val="single" w:sz="4" w:space="0" w:color="auto"/>
              <w:bottom w:val="single" w:sz="4" w:space="0" w:color="auto"/>
            </w:tcBorders>
            <w:vAlign w:val="center"/>
          </w:tcPr>
          <w:p w:rsidR="001A53D6" w:rsidRPr="002A65BD" w:rsidRDefault="00EE699D" w:rsidP="0076108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5</w:t>
            </w:r>
          </w:p>
        </w:tc>
        <w:tc>
          <w:tcPr>
            <w:tcW w:w="1134" w:type="dxa"/>
            <w:tcBorders>
              <w:top w:val="single" w:sz="4" w:space="0" w:color="auto"/>
              <w:bottom w:val="single" w:sz="4" w:space="0" w:color="auto"/>
            </w:tcBorders>
            <w:vAlign w:val="center"/>
          </w:tcPr>
          <w:p w:rsidR="001A53D6" w:rsidRPr="00EE699D" w:rsidRDefault="00EE699D" w:rsidP="0076108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4</w:t>
            </w:r>
          </w:p>
        </w:tc>
        <w:tc>
          <w:tcPr>
            <w:tcW w:w="1276" w:type="dxa"/>
            <w:gridSpan w:val="2"/>
            <w:tcBorders>
              <w:top w:val="single" w:sz="4" w:space="0" w:color="auto"/>
              <w:bottom w:val="single" w:sz="4" w:space="0" w:color="auto"/>
            </w:tcBorders>
            <w:vAlign w:val="center"/>
          </w:tcPr>
          <w:p w:rsidR="001A53D6" w:rsidRPr="002A65BD" w:rsidRDefault="00EE699D" w:rsidP="0076108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4</w:t>
            </w:r>
          </w:p>
        </w:tc>
      </w:tr>
      <w:tr w:rsidR="00992768" w:rsidRPr="00FB714C" w:rsidTr="00CD19BF">
        <w:trPr>
          <w:gridAfter w:val="1"/>
          <w:wAfter w:w="1276" w:type="dxa"/>
          <w:trHeight w:val="357"/>
        </w:trPr>
        <w:tc>
          <w:tcPr>
            <w:tcW w:w="5245" w:type="dxa"/>
            <w:tcBorders>
              <w:top w:val="single" w:sz="4" w:space="0" w:color="auto"/>
              <w:bottom w:val="single" w:sz="4" w:space="0" w:color="auto"/>
            </w:tcBorders>
            <w:vAlign w:val="center"/>
          </w:tcPr>
          <w:p w:rsidR="00992768" w:rsidRPr="00FB714C" w:rsidRDefault="00992768" w:rsidP="00EE699D">
            <w:pPr>
              <w:rPr>
                <w:rFonts w:ascii="Times New Roman" w:hAnsi="Times New Roman" w:cs="Times New Roman"/>
                <w:sz w:val="20"/>
                <w:szCs w:val="20"/>
              </w:rPr>
            </w:pPr>
            <w:r>
              <w:rPr>
                <w:rFonts w:ascii="Times New Roman" w:hAnsi="Times New Roman" w:cs="Times New Roman"/>
                <w:sz w:val="20"/>
                <w:szCs w:val="20"/>
              </w:rPr>
              <w:t>5. Брегоукрепване</w:t>
            </w:r>
          </w:p>
        </w:tc>
        <w:tc>
          <w:tcPr>
            <w:tcW w:w="851" w:type="dxa"/>
            <w:tcBorders>
              <w:top w:val="single" w:sz="4" w:space="0" w:color="auto"/>
              <w:bottom w:val="single" w:sz="4" w:space="0" w:color="auto"/>
            </w:tcBorders>
            <w:shd w:val="clear" w:color="auto" w:fill="F2F2F2" w:themeFill="background1" w:themeFillShade="F2"/>
            <w:vAlign w:val="center"/>
          </w:tcPr>
          <w:p w:rsidR="00992768" w:rsidRPr="00FB714C" w:rsidRDefault="00992768" w:rsidP="00EE699D">
            <w:pPr>
              <w:jc w:val="center"/>
              <w:rPr>
                <w:rFonts w:ascii="Times New Roman" w:hAnsi="Times New Roman" w:cs="Times New Roman"/>
                <w:sz w:val="20"/>
                <w:szCs w:val="20"/>
              </w:rPr>
            </w:pPr>
            <w:r>
              <w:rPr>
                <w:rFonts w:ascii="Times New Roman" w:hAnsi="Times New Roman" w:cs="Times New Roman"/>
                <w:sz w:val="20"/>
                <w:szCs w:val="20"/>
              </w:rPr>
              <w:t>м</w:t>
            </w:r>
          </w:p>
        </w:tc>
        <w:tc>
          <w:tcPr>
            <w:tcW w:w="1275" w:type="dxa"/>
            <w:tcBorders>
              <w:top w:val="single" w:sz="4" w:space="0" w:color="auto"/>
              <w:bottom w:val="single" w:sz="4" w:space="0" w:color="auto"/>
            </w:tcBorders>
            <w:vAlign w:val="center"/>
          </w:tcPr>
          <w:p w:rsidR="00992768" w:rsidRPr="00992768" w:rsidRDefault="00992768" w:rsidP="0076108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c>
          <w:tcPr>
            <w:tcW w:w="1134" w:type="dxa"/>
            <w:tcBorders>
              <w:top w:val="single" w:sz="4" w:space="0" w:color="auto"/>
              <w:bottom w:val="single" w:sz="4" w:space="0" w:color="auto"/>
            </w:tcBorders>
            <w:vAlign w:val="center"/>
          </w:tcPr>
          <w:p w:rsidR="00992768" w:rsidRPr="00992768" w:rsidRDefault="00992768" w:rsidP="0076108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c>
          <w:tcPr>
            <w:tcW w:w="1276" w:type="dxa"/>
            <w:gridSpan w:val="2"/>
            <w:tcBorders>
              <w:top w:val="single" w:sz="4" w:space="0" w:color="auto"/>
              <w:bottom w:val="single" w:sz="4" w:space="0" w:color="auto"/>
            </w:tcBorders>
            <w:vAlign w:val="center"/>
          </w:tcPr>
          <w:p w:rsidR="00992768" w:rsidRPr="00992768" w:rsidRDefault="00992768" w:rsidP="0076108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w:t>
            </w:r>
          </w:p>
        </w:tc>
      </w:tr>
      <w:tr w:rsidR="001A53D6" w:rsidRPr="00FB714C" w:rsidTr="00CD19BF">
        <w:trPr>
          <w:gridAfter w:val="1"/>
          <w:wAfter w:w="1276" w:type="dxa"/>
          <w:trHeight w:val="357"/>
        </w:trPr>
        <w:tc>
          <w:tcPr>
            <w:tcW w:w="5245" w:type="dxa"/>
            <w:tcBorders>
              <w:top w:val="single" w:sz="4" w:space="0" w:color="auto"/>
              <w:bottom w:val="single" w:sz="4" w:space="0" w:color="auto"/>
            </w:tcBorders>
            <w:vAlign w:val="center"/>
          </w:tcPr>
          <w:p w:rsidR="001A53D6" w:rsidRPr="00FB714C" w:rsidRDefault="001F782D" w:rsidP="00A10F5E">
            <w:pPr>
              <w:rPr>
                <w:rFonts w:ascii="Times New Roman" w:hAnsi="Times New Roman" w:cs="Times New Roman"/>
                <w:sz w:val="20"/>
                <w:szCs w:val="20"/>
              </w:rPr>
            </w:pPr>
            <w:r>
              <w:rPr>
                <w:rFonts w:ascii="Times New Roman" w:hAnsi="Times New Roman" w:cs="Times New Roman"/>
                <w:sz w:val="20"/>
                <w:szCs w:val="20"/>
              </w:rPr>
              <w:t>6</w:t>
            </w:r>
            <w:r w:rsidR="001A53D6" w:rsidRPr="00FB714C">
              <w:rPr>
                <w:rFonts w:ascii="Times New Roman" w:hAnsi="Times New Roman" w:cs="Times New Roman"/>
                <w:sz w:val="20"/>
                <w:szCs w:val="20"/>
              </w:rPr>
              <w:t>. Контролирана свлачищна територия</w:t>
            </w:r>
          </w:p>
        </w:tc>
        <w:tc>
          <w:tcPr>
            <w:tcW w:w="851" w:type="dxa"/>
            <w:tcBorders>
              <w:top w:val="single" w:sz="4" w:space="0" w:color="auto"/>
              <w:bottom w:val="single" w:sz="4" w:space="0" w:color="auto"/>
            </w:tcBorders>
            <w:shd w:val="clear" w:color="auto" w:fill="F2F2F2" w:themeFill="background1" w:themeFillShade="F2"/>
            <w:vAlign w:val="center"/>
          </w:tcPr>
          <w:p w:rsidR="001A53D6" w:rsidRPr="00FB714C" w:rsidRDefault="001A53D6" w:rsidP="00761082">
            <w:pPr>
              <w:jc w:val="center"/>
              <w:rPr>
                <w:rFonts w:ascii="Times New Roman" w:hAnsi="Times New Roman" w:cs="Times New Roman"/>
                <w:sz w:val="20"/>
                <w:szCs w:val="20"/>
              </w:rPr>
            </w:pPr>
            <w:r w:rsidRPr="00FB714C">
              <w:rPr>
                <w:rFonts w:ascii="Times New Roman" w:hAnsi="Times New Roman" w:cs="Times New Roman"/>
                <w:sz w:val="20"/>
                <w:szCs w:val="20"/>
              </w:rPr>
              <w:t>ха</w:t>
            </w:r>
          </w:p>
        </w:tc>
        <w:tc>
          <w:tcPr>
            <w:tcW w:w="1275" w:type="dxa"/>
            <w:tcBorders>
              <w:top w:val="single" w:sz="4" w:space="0" w:color="auto"/>
              <w:bottom w:val="single" w:sz="4" w:space="0" w:color="auto"/>
            </w:tcBorders>
            <w:vAlign w:val="center"/>
          </w:tcPr>
          <w:p w:rsidR="001A53D6" w:rsidRPr="000B4309" w:rsidRDefault="000B4309" w:rsidP="0076108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1134" w:type="dxa"/>
            <w:tcBorders>
              <w:top w:val="single" w:sz="4" w:space="0" w:color="auto"/>
              <w:bottom w:val="single" w:sz="4" w:space="0" w:color="auto"/>
            </w:tcBorders>
            <w:vAlign w:val="center"/>
          </w:tcPr>
          <w:p w:rsidR="001A53D6" w:rsidRPr="00686C81" w:rsidRDefault="001A53D6" w:rsidP="00761082">
            <w:pPr>
              <w:jc w:val="center"/>
              <w:rPr>
                <w:rFonts w:ascii="Times New Roman" w:hAnsi="Times New Roman" w:cs="Times New Roman"/>
                <w:color w:val="000000" w:themeColor="text1"/>
                <w:sz w:val="20"/>
                <w:szCs w:val="20"/>
              </w:rPr>
            </w:pPr>
            <w:r w:rsidRPr="00686C81">
              <w:rPr>
                <w:rFonts w:ascii="Times New Roman" w:hAnsi="Times New Roman" w:cs="Times New Roman"/>
                <w:color w:val="000000" w:themeColor="text1"/>
                <w:sz w:val="20"/>
                <w:szCs w:val="20"/>
              </w:rPr>
              <w:t>1000</w:t>
            </w:r>
          </w:p>
        </w:tc>
        <w:tc>
          <w:tcPr>
            <w:tcW w:w="1276" w:type="dxa"/>
            <w:gridSpan w:val="2"/>
            <w:tcBorders>
              <w:top w:val="single" w:sz="4" w:space="0" w:color="auto"/>
              <w:bottom w:val="single" w:sz="4" w:space="0" w:color="auto"/>
            </w:tcBorders>
            <w:vAlign w:val="center"/>
          </w:tcPr>
          <w:p w:rsidR="001A53D6" w:rsidRPr="00686C81" w:rsidRDefault="001A53D6" w:rsidP="00761082">
            <w:pPr>
              <w:jc w:val="center"/>
              <w:rPr>
                <w:rFonts w:ascii="Times New Roman" w:hAnsi="Times New Roman" w:cs="Times New Roman"/>
                <w:color w:val="000000" w:themeColor="text1"/>
                <w:sz w:val="20"/>
                <w:szCs w:val="20"/>
              </w:rPr>
            </w:pPr>
            <w:r w:rsidRPr="00686C81">
              <w:rPr>
                <w:rFonts w:ascii="Times New Roman" w:hAnsi="Times New Roman" w:cs="Times New Roman"/>
                <w:color w:val="000000" w:themeColor="text1"/>
                <w:sz w:val="20"/>
                <w:szCs w:val="20"/>
                <w:lang w:val="en-US"/>
              </w:rPr>
              <w:t>10</w:t>
            </w:r>
            <w:r w:rsidRPr="00686C81">
              <w:rPr>
                <w:rFonts w:ascii="Times New Roman" w:hAnsi="Times New Roman" w:cs="Times New Roman"/>
                <w:color w:val="000000" w:themeColor="text1"/>
                <w:sz w:val="20"/>
                <w:szCs w:val="20"/>
              </w:rPr>
              <w:t>00</w:t>
            </w:r>
          </w:p>
        </w:tc>
      </w:tr>
      <w:tr w:rsidR="00442AB6" w:rsidRPr="00FB714C" w:rsidTr="00A10F5E">
        <w:trPr>
          <w:gridAfter w:val="1"/>
          <w:wAfter w:w="1276" w:type="dxa"/>
          <w:trHeight w:val="353"/>
        </w:trPr>
        <w:tc>
          <w:tcPr>
            <w:tcW w:w="5245" w:type="dxa"/>
            <w:tcBorders>
              <w:top w:val="single" w:sz="4" w:space="0" w:color="auto"/>
              <w:bottom w:val="single" w:sz="4" w:space="0" w:color="auto"/>
            </w:tcBorders>
            <w:vAlign w:val="center"/>
          </w:tcPr>
          <w:p w:rsidR="00442AB6" w:rsidRPr="00FB714C" w:rsidRDefault="001F782D" w:rsidP="00A10F5E">
            <w:pPr>
              <w:pStyle w:val="ListParagraph"/>
              <w:tabs>
                <w:tab w:val="left" w:pos="179"/>
                <w:tab w:val="left" w:pos="255"/>
              </w:tabs>
              <w:ind w:left="37"/>
              <w:rPr>
                <w:rFonts w:ascii="Times New Roman" w:hAnsi="Times New Roman" w:cs="Times New Roman"/>
                <w:sz w:val="20"/>
                <w:szCs w:val="20"/>
              </w:rPr>
            </w:pPr>
            <w:r>
              <w:rPr>
                <w:rFonts w:ascii="Times New Roman" w:hAnsi="Times New Roman" w:cs="Times New Roman"/>
                <w:sz w:val="20"/>
                <w:szCs w:val="20"/>
              </w:rPr>
              <w:t>7</w:t>
            </w:r>
            <w:r w:rsidR="00442AB6" w:rsidRPr="00FB714C">
              <w:rPr>
                <w:rFonts w:ascii="Times New Roman" w:hAnsi="Times New Roman" w:cs="Times New Roman"/>
                <w:sz w:val="20"/>
                <w:szCs w:val="20"/>
              </w:rPr>
              <w:t xml:space="preserve">. Обезпечаване на територията на страната с общи устройствени планове. </w:t>
            </w:r>
            <w:r w:rsidR="00442AB6" w:rsidRPr="00FB714C">
              <w:rPr>
                <w:rFonts w:ascii="Times New Roman" w:hAnsi="Times New Roman" w:cs="Times New Roman"/>
                <w:i/>
                <w:sz w:val="20"/>
                <w:szCs w:val="20"/>
              </w:rPr>
              <w:t>(нарастване на броя на общините с действащи общи устройствени планове)</w:t>
            </w:r>
          </w:p>
        </w:tc>
        <w:tc>
          <w:tcPr>
            <w:tcW w:w="851" w:type="dxa"/>
            <w:tcBorders>
              <w:top w:val="single" w:sz="4" w:space="0" w:color="auto"/>
              <w:bottom w:val="single" w:sz="4" w:space="0" w:color="auto"/>
            </w:tcBorders>
            <w:shd w:val="clear" w:color="auto" w:fill="F2F2F2" w:themeFill="background1" w:themeFillShade="F2"/>
            <w:vAlign w:val="center"/>
          </w:tcPr>
          <w:p w:rsidR="00442AB6" w:rsidRPr="00FB714C" w:rsidRDefault="00442AB6" w:rsidP="00761082">
            <w:pPr>
              <w:jc w:val="center"/>
              <w:rPr>
                <w:rFonts w:ascii="Times New Roman" w:hAnsi="Times New Roman" w:cs="Times New Roman"/>
                <w:sz w:val="20"/>
                <w:szCs w:val="20"/>
              </w:rPr>
            </w:pPr>
            <w:r w:rsidRPr="00FB714C">
              <w:rPr>
                <w:rFonts w:ascii="Times New Roman" w:hAnsi="Times New Roman" w:cs="Times New Roman"/>
                <w:sz w:val="20"/>
                <w:szCs w:val="20"/>
              </w:rPr>
              <w:t>%</w:t>
            </w:r>
          </w:p>
        </w:tc>
        <w:tc>
          <w:tcPr>
            <w:tcW w:w="1275" w:type="dxa"/>
            <w:tcBorders>
              <w:top w:val="single" w:sz="4" w:space="0" w:color="auto"/>
              <w:bottom w:val="single" w:sz="4" w:space="0" w:color="auto"/>
            </w:tcBorders>
            <w:vAlign w:val="center"/>
          </w:tcPr>
          <w:p w:rsidR="00442AB6" w:rsidRPr="00FB714C" w:rsidRDefault="00442AB6" w:rsidP="00761082">
            <w:pPr>
              <w:jc w:val="center"/>
              <w:rPr>
                <w:rFonts w:ascii="Times New Roman" w:hAnsi="Times New Roman" w:cs="Times New Roman"/>
                <w:sz w:val="20"/>
                <w:szCs w:val="20"/>
              </w:rPr>
            </w:pPr>
            <w:r w:rsidRPr="00FB714C">
              <w:rPr>
                <w:rFonts w:ascii="Times New Roman" w:hAnsi="Times New Roman" w:cs="Times New Roman"/>
                <w:sz w:val="20"/>
                <w:szCs w:val="20"/>
              </w:rPr>
              <w:t>15</w:t>
            </w:r>
          </w:p>
        </w:tc>
        <w:tc>
          <w:tcPr>
            <w:tcW w:w="1134" w:type="dxa"/>
            <w:tcBorders>
              <w:top w:val="single" w:sz="4" w:space="0" w:color="auto"/>
              <w:bottom w:val="single" w:sz="4" w:space="0" w:color="auto"/>
            </w:tcBorders>
            <w:vAlign w:val="center"/>
          </w:tcPr>
          <w:p w:rsidR="00442AB6" w:rsidRPr="00FB714C" w:rsidRDefault="00442AB6" w:rsidP="00761082">
            <w:pPr>
              <w:jc w:val="center"/>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30</w:t>
            </w:r>
          </w:p>
        </w:tc>
        <w:tc>
          <w:tcPr>
            <w:tcW w:w="1276" w:type="dxa"/>
            <w:gridSpan w:val="2"/>
            <w:tcBorders>
              <w:top w:val="single" w:sz="4" w:space="0" w:color="auto"/>
              <w:bottom w:val="single" w:sz="4" w:space="0" w:color="auto"/>
            </w:tcBorders>
            <w:vAlign w:val="center"/>
          </w:tcPr>
          <w:p w:rsidR="00442AB6" w:rsidRPr="00FB714C" w:rsidRDefault="00442AB6" w:rsidP="00761082">
            <w:pPr>
              <w:jc w:val="center"/>
              <w:rPr>
                <w:rFonts w:ascii="Times New Roman" w:hAnsi="Times New Roman" w:cs="Times New Roman"/>
                <w:color w:val="000000" w:themeColor="text1"/>
                <w:sz w:val="20"/>
                <w:szCs w:val="20"/>
              </w:rPr>
            </w:pPr>
            <w:r w:rsidRPr="00FB714C">
              <w:rPr>
                <w:rFonts w:ascii="Times New Roman" w:hAnsi="Times New Roman" w:cs="Times New Roman"/>
                <w:color w:val="000000" w:themeColor="text1"/>
                <w:sz w:val="20"/>
                <w:szCs w:val="20"/>
              </w:rPr>
              <w:t>25</w:t>
            </w:r>
          </w:p>
        </w:tc>
      </w:tr>
      <w:tr w:rsidR="00047768" w:rsidRPr="00A10F5E" w:rsidTr="00672ADD">
        <w:trPr>
          <w:gridAfter w:val="1"/>
          <w:wAfter w:w="1276" w:type="dxa"/>
          <w:trHeight w:val="460"/>
        </w:trPr>
        <w:tc>
          <w:tcPr>
            <w:tcW w:w="5245" w:type="dxa"/>
            <w:tcBorders>
              <w:top w:val="single" w:sz="4" w:space="0" w:color="auto"/>
              <w:bottom w:val="single" w:sz="4" w:space="0" w:color="auto"/>
            </w:tcBorders>
            <w:vAlign w:val="center"/>
          </w:tcPr>
          <w:p w:rsidR="00047768" w:rsidRPr="00A10F5E" w:rsidRDefault="001F782D" w:rsidP="00047768">
            <w:pPr>
              <w:rPr>
                <w:rFonts w:ascii="Times New Roman" w:hAnsi="Times New Roman" w:cs="Times New Roman"/>
                <w:sz w:val="20"/>
                <w:szCs w:val="18"/>
              </w:rPr>
            </w:pPr>
            <w:r>
              <w:rPr>
                <w:rFonts w:ascii="Times New Roman" w:hAnsi="Times New Roman" w:cs="Times New Roman"/>
                <w:sz w:val="20"/>
                <w:szCs w:val="18"/>
              </w:rPr>
              <w:t>8</w:t>
            </w:r>
            <w:r w:rsidR="00047768" w:rsidRPr="00A10F5E">
              <w:rPr>
                <w:rFonts w:ascii="Times New Roman" w:hAnsi="Times New Roman" w:cs="Times New Roman"/>
                <w:sz w:val="20"/>
                <w:szCs w:val="18"/>
              </w:rPr>
              <w:t>. Рехабили</w:t>
            </w:r>
            <w:r w:rsidR="00047768">
              <w:rPr>
                <w:rFonts w:ascii="Times New Roman" w:hAnsi="Times New Roman" w:cs="Times New Roman"/>
                <w:sz w:val="20"/>
                <w:szCs w:val="18"/>
              </w:rPr>
              <w:t>тация</w:t>
            </w:r>
            <w:r w:rsidR="00047768" w:rsidRPr="00A10F5E">
              <w:rPr>
                <w:rFonts w:ascii="Times New Roman" w:hAnsi="Times New Roman" w:cs="Times New Roman"/>
                <w:sz w:val="20"/>
                <w:szCs w:val="18"/>
              </w:rPr>
              <w:t xml:space="preserve"> и новоизградени участъци </w:t>
            </w:r>
          </w:p>
        </w:tc>
        <w:tc>
          <w:tcPr>
            <w:tcW w:w="851" w:type="dxa"/>
            <w:tcBorders>
              <w:top w:val="single" w:sz="4" w:space="0" w:color="auto"/>
              <w:bottom w:val="single" w:sz="4" w:space="0" w:color="auto"/>
            </w:tcBorders>
            <w:shd w:val="clear" w:color="auto" w:fill="F2F2F2" w:themeFill="background1" w:themeFillShade="F2"/>
            <w:vAlign w:val="center"/>
          </w:tcPr>
          <w:p w:rsidR="00047768" w:rsidRPr="00A10F5E" w:rsidRDefault="00047768" w:rsidP="00047768">
            <w:pPr>
              <w:jc w:val="center"/>
              <w:rPr>
                <w:rFonts w:ascii="Times New Roman" w:hAnsi="Times New Roman" w:cs="Times New Roman"/>
                <w:sz w:val="20"/>
                <w:szCs w:val="18"/>
              </w:rPr>
            </w:pPr>
            <w:r w:rsidRPr="00A10F5E">
              <w:rPr>
                <w:rFonts w:ascii="Times New Roman" w:hAnsi="Times New Roman" w:cs="Times New Roman"/>
                <w:sz w:val="20"/>
                <w:szCs w:val="18"/>
              </w:rPr>
              <w:t>Км.</w:t>
            </w:r>
          </w:p>
        </w:tc>
        <w:tc>
          <w:tcPr>
            <w:tcW w:w="1275" w:type="dxa"/>
            <w:tcBorders>
              <w:top w:val="single" w:sz="4" w:space="0" w:color="auto"/>
              <w:left w:val="nil"/>
              <w:bottom w:val="nil"/>
              <w:right w:val="nil"/>
            </w:tcBorders>
          </w:tcPr>
          <w:p w:rsidR="00047768" w:rsidRPr="00047768" w:rsidRDefault="00047768" w:rsidP="00047768">
            <w:pPr>
              <w:jc w:val="center"/>
              <w:rPr>
                <w:rFonts w:ascii="Times New Roman" w:hAnsi="Times New Roman" w:cs="Times New Roman"/>
                <w:sz w:val="20"/>
                <w:szCs w:val="20"/>
              </w:rPr>
            </w:pPr>
            <w:r w:rsidRPr="00047768">
              <w:rPr>
                <w:rFonts w:ascii="Times New Roman" w:hAnsi="Times New Roman" w:cs="Times New Roman"/>
                <w:sz w:val="20"/>
                <w:szCs w:val="20"/>
              </w:rPr>
              <w:t>318.62</w:t>
            </w:r>
          </w:p>
        </w:tc>
        <w:tc>
          <w:tcPr>
            <w:tcW w:w="1134" w:type="dxa"/>
            <w:tcBorders>
              <w:top w:val="single" w:sz="4" w:space="0" w:color="auto"/>
              <w:left w:val="nil"/>
              <w:bottom w:val="nil"/>
              <w:right w:val="nil"/>
            </w:tcBorders>
          </w:tcPr>
          <w:p w:rsidR="00047768" w:rsidRPr="00047768" w:rsidRDefault="00047768" w:rsidP="00047768">
            <w:pPr>
              <w:jc w:val="center"/>
              <w:rPr>
                <w:rFonts w:ascii="Times New Roman" w:hAnsi="Times New Roman" w:cs="Times New Roman"/>
                <w:sz w:val="20"/>
                <w:szCs w:val="20"/>
              </w:rPr>
            </w:pPr>
            <w:r w:rsidRPr="00047768">
              <w:rPr>
                <w:rFonts w:ascii="Times New Roman" w:hAnsi="Times New Roman" w:cs="Times New Roman"/>
                <w:sz w:val="20"/>
                <w:szCs w:val="20"/>
              </w:rPr>
              <w:t>482.393</w:t>
            </w:r>
          </w:p>
        </w:tc>
        <w:tc>
          <w:tcPr>
            <w:tcW w:w="1276" w:type="dxa"/>
            <w:gridSpan w:val="2"/>
            <w:tcBorders>
              <w:top w:val="single" w:sz="4" w:space="0" w:color="auto"/>
              <w:left w:val="nil"/>
              <w:bottom w:val="nil"/>
              <w:right w:val="nil"/>
            </w:tcBorders>
          </w:tcPr>
          <w:p w:rsidR="00047768" w:rsidRPr="00047768" w:rsidRDefault="00047768" w:rsidP="00047768">
            <w:pPr>
              <w:jc w:val="center"/>
              <w:rPr>
                <w:rFonts w:ascii="Times New Roman" w:hAnsi="Times New Roman" w:cs="Times New Roman"/>
                <w:sz w:val="20"/>
                <w:szCs w:val="20"/>
              </w:rPr>
            </w:pPr>
            <w:r w:rsidRPr="00047768">
              <w:rPr>
                <w:rFonts w:ascii="Times New Roman" w:hAnsi="Times New Roman" w:cs="Times New Roman"/>
                <w:sz w:val="20"/>
                <w:szCs w:val="20"/>
                <w:lang w:val="en-US"/>
              </w:rPr>
              <w:t>4</w:t>
            </w:r>
            <w:r w:rsidRPr="00047768">
              <w:rPr>
                <w:rFonts w:ascii="Times New Roman" w:hAnsi="Times New Roman" w:cs="Times New Roman"/>
                <w:sz w:val="20"/>
                <w:szCs w:val="20"/>
              </w:rPr>
              <w:t>11.</w:t>
            </w:r>
            <w:r w:rsidRPr="00047768">
              <w:rPr>
                <w:rFonts w:ascii="Times New Roman" w:hAnsi="Times New Roman" w:cs="Times New Roman"/>
                <w:sz w:val="20"/>
                <w:szCs w:val="20"/>
                <w:lang w:val="en-US"/>
              </w:rPr>
              <w:t>4</w:t>
            </w:r>
            <w:r w:rsidRPr="00047768">
              <w:rPr>
                <w:rFonts w:ascii="Times New Roman" w:hAnsi="Times New Roman" w:cs="Times New Roman"/>
                <w:sz w:val="20"/>
                <w:szCs w:val="20"/>
              </w:rPr>
              <w:t>9</w:t>
            </w:r>
          </w:p>
        </w:tc>
      </w:tr>
      <w:tr w:rsidR="00F168CE" w:rsidRPr="00A10F5E" w:rsidTr="00CD19BF">
        <w:trPr>
          <w:trHeight w:val="377"/>
        </w:trPr>
        <w:tc>
          <w:tcPr>
            <w:tcW w:w="5245" w:type="dxa"/>
            <w:tcBorders>
              <w:top w:val="single" w:sz="4" w:space="0" w:color="auto"/>
              <w:bottom w:val="single" w:sz="4" w:space="0" w:color="auto"/>
            </w:tcBorders>
            <w:vAlign w:val="center"/>
          </w:tcPr>
          <w:p w:rsidR="00F168CE" w:rsidRPr="00A10F5E" w:rsidRDefault="001F782D" w:rsidP="00A10F5E">
            <w:pPr>
              <w:rPr>
                <w:rFonts w:ascii="Times New Roman" w:hAnsi="Times New Roman" w:cs="Times New Roman"/>
                <w:sz w:val="20"/>
                <w:szCs w:val="18"/>
              </w:rPr>
            </w:pPr>
            <w:r>
              <w:rPr>
                <w:rFonts w:ascii="Times New Roman" w:hAnsi="Times New Roman" w:cs="Times New Roman"/>
                <w:sz w:val="20"/>
                <w:szCs w:val="18"/>
              </w:rPr>
              <w:t>9</w:t>
            </w:r>
            <w:r w:rsidR="00F168CE" w:rsidRPr="00A10F5E">
              <w:rPr>
                <w:rFonts w:ascii="Times New Roman" w:hAnsi="Times New Roman" w:cs="Times New Roman"/>
                <w:sz w:val="20"/>
                <w:szCs w:val="18"/>
              </w:rPr>
              <w:t>. Текущ ремонт и поддържане на РПМ</w:t>
            </w:r>
          </w:p>
        </w:tc>
        <w:tc>
          <w:tcPr>
            <w:tcW w:w="851" w:type="dxa"/>
            <w:tcBorders>
              <w:top w:val="single" w:sz="4" w:space="0" w:color="auto"/>
              <w:bottom w:val="single" w:sz="4" w:space="0" w:color="auto"/>
            </w:tcBorders>
            <w:shd w:val="clear" w:color="auto" w:fill="F2F2F2" w:themeFill="background1" w:themeFillShade="F2"/>
            <w:vAlign w:val="center"/>
          </w:tcPr>
          <w:p w:rsidR="00F168CE" w:rsidRPr="00A10F5E" w:rsidRDefault="00F168CE" w:rsidP="00761082">
            <w:pPr>
              <w:jc w:val="center"/>
              <w:rPr>
                <w:rFonts w:ascii="Times New Roman" w:hAnsi="Times New Roman" w:cs="Times New Roman"/>
                <w:sz w:val="20"/>
                <w:szCs w:val="18"/>
              </w:rPr>
            </w:pPr>
            <w:r w:rsidRPr="00A10F5E">
              <w:rPr>
                <w:rFonts w:ascii="Times New Roman" w:hAnsi="Times New Roman" w:cs="Times New Roman"/>
                <w:sz w:val="20"/>
                <w:szCs w:val="18"/>
              </w:rPr>
              <w:t>Км.</w:t>
            </w:r>
          </w:p>
        </w:tc>
        <w:tc>
          <w:tcPr>
            <w:tcW w:w="1275" w:type="dxa"/>
            <w:tcBorders>
              <w:top w:val="single" w:sz="4" w:space="0" w:color="auto"/>
              <w:bottom w:val="single" w:sz="4" w:space="0" w:color="auto"/>
            </w:tcBorders>
            <w:vAlign w:val="center"/>
          </w:tcPr>
          <w:p w:rsidR="00F168CE" w:rsidRPr="00A10F5E" w:rsidRDefault="00511568" w:rsidP="00761082">
            <w:pPr>
              <w:jc w:val="center"/>
              <w:rPr>
                <w:rFonts w:ascii="Times New Roman" w:hAnsi="Times New Roman" w:cs="Times New Roman"/>
                <w:sz w:val="20"/>
                <w:szCs w:val="20"/>
              </w:rPr>
            </w:pPr>
            <w:r>
              <w:rPr>
                <w:rFonts w:ascii="Times New Roman" w:hAnsi="Times New Roman" w:cs="Times New Roman"/>
                <w:sz w:val="20"/>
                <w:szCs w:val="20"/>
              </w:rPr>
              <w:t>19 917.18</w:t>
            </w:r>
          </w:p>
        </w:tc>
        <w:tc>
          <w:tcPr>
            <w:tcW w:w="1134" w:type="dxa"/>
            <w:tcBorders>
              <w:top w:val="single" w:sz="4" w:space="0" w:color="auto"/>
              <w:bottom w:val="single" w:sz="4" w:space="0" w:color="auto"/>
            </w:tcBorders>
            <w:vAlign w:val="center"/>
          </w:tcPr>
          <w:p w:rsidR="00F168CE" w:rsidRPr="00A10F5E" w:rsidRDefault="00511568" w:rsidP="00761082">
            <w:pPr>
              <w:jc w:val="center"/>
              <w:rPr>
                <w:rFonts w:ascii="Times New Roman" w:hAnsi="Times New Roman" w:cs="Times New Roman"/>
                <w:sz w:val="20"/>
                <w:szCs w:val="20"/>
              </w:rPr>
            </w:pPr>
            <w:r>
              <w:rPr>
                <w:rFonts w:ascii="Times New Roman" w:hAnsi="Times New Roman" w:cs="Times New Roman"/>
                <w:sz w:val="20"/>
                <w:szCs w:val="20"/>
              </w:rPr>
              <w:t>19 917.18</w:t>
            </w:r>
          </w:p>
        </w:tc>
        <w:tc>
          <w:tcPr>
            <w:tcW w:w="1276" w:type="dxa"/>
            <w:gridSpan w:val="2"/>
            <w:tcBorders>
              <w:top w:val="single" w:sz="4" w:space="0" w:color="auto"/>
              <w:bottom w:val="single" w:sz="4" w:space="0" w:color="auto"/>
            </w:tcBorders>
            <w:vAlign w:val="center"/>
          </w:tcPr>
          <w:p w:rsidR="00F168CE" w:rsidRPr="00A10F5E" w:rsidRDefault="00511568" w:rsidP="00761082">
            <w:pPr>
              <w:jc w:val="center"/>
              <w:rPr>
                <w:rFonts w:ascii="Times New Roman" w:hAnsi="Times New Roman" w:cs="Times New Roman"/>
                <w:sz w:val="20"/>
                <w:szCs w:val="20"/>
              </w:rPr>
            </w:pPr>
            <w:r>
              <w:rPr>
                <w:rFonts w:ascii="Times New Roman" w:hAnsi="Times New Roman" w:cs="Times New Roman"/>
                <w:sz w:val="20"/>
                <w:szCs w:val="20"/>
              </w:rPr>
              <w:t>19 917.18</w:t>
            </w:r>
          </w:p>
        </w:tc>
        <w:tc>
          <w:tcPr>
            <w:tcW w:w="1276" w:type="dxa"/>
            <w:vAlign w:val="center"/>
          </w:tcPr>
          <w:p w:rsidR="00F168CE" w:rsidRPr="00A10F5E" w:rsidRDefault="00F168CE" w:rsidP="00A10F5E">
            <w:pPr>
              <w:rPr>
                <w:rFonts w:ascii="Times New Roman" w:hAnsi="Times New Roman" w:cs="Times New Roman"/>
                <w:color w:val="000000" w:themeColor="text1"/>
                <w:sz w:val="20"/>
                <w:szCs w:val="20"/>
              </w:rPr>
            </w:pPr>
          </w:p>
        </w:tc>
      </w:tr>
      <w:tr w:rsidR="00F168CE" w:rsidRPr="00FB714C" w:rsidTr="00CD19BF">
        <w:trPr>
          <w:gridAfter w:val="1"/>
          <w:wAfter w:w="1276" w:type="dxa"/>
          <w:trHeight w:val="377"/>
        </w:trPr>
        <w:tc>
          <w:tcPr>
            <w:tcW w:w="5245" w:type="dxa"/>
            <w:tcBorders>
              <w:top w:val="single" w:sz="4" w:space="0" w:color="auto"/>
              <w:bottom w:val="single" w:sz="4" w:space="0" w:color="auto"/>
            </w:tcBorders>
            <w:vAlign w:val="center"/>
          </w:tcPr>
          <w:p w:rsidR="00F168CE" w:rsidRPr="001A7F8A" w:rsidRDefault="001F782D" w:rsidP="00A10F5E">
            <w:pPr>
              <w:tabs>
                <w:tab w:val="left" w:pos="6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F168CE" w:rsidRPr="001A7F8A">
              <w:rPr>
                <w:rFonts w:ascii="Times New Roman" w:hAnsi="Times New Roman" w:cs="Times New Roman"/>
                <w:color w:val="000000" w:themeColor="text1"/>
                <w:sz w:val="20"/>
                <w:szCs w:val="20"/>
              </w:rPr>
              <w:t>. Брой продадени винетки</w:t>
            </w:r>
          </w:p>
        </w:tc>
        <w:tc>
          <w:tcPr>
            <w:tcW w:w="851" w:type="dxa"/>
            <w:tcBorders>
              <w:top w:val="single" w:sz="4" w:space="0" w:color="auto"/>
              <w:bottom w:val="single" w:sz="4" w:space="0" w:color="auto"/>
            </w:tcBorders>
            <w:shd w:val="clear" w:color="auto" w:fill="F2F2F2" w:themeFill="background1" w:themeFillShade="F2"/>
            <w:vAlign w:val="center"/>
          </w:tcPr>
          <w:p w:rsidR="00F168CE" w:rsidRPr="001A7F8A" w:rsidRDefault="00761082" w:rsidP="0076108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брой</w:t>
            </w:r>
          </w:p>
        </w:tc>
        <w:tc>
          <w:tcPr>
            <w:tcW w:w="1275" w:type="dxa"/>
            <w:tcBorders>
              <w:top w:val="single" w:sz="4" w:space="0" w:color="auto"/>
              <w:bottom w:val="single" w:sz="4" w:space="0" w:color="auto"/>
            </w:tcBorders>
            <w:vAlign w:val="center"/>
          </w:tcPr>
          <w:p w:rsidR="00F168CE" w:rsidRPr="001A7F8A" w:rsidRDefault="00F168CE" w:rsidP="00761082">
            <w:pPr>
              <w:jc w:val="center"/>
              <w:rPr>
                <w:rFonts w:ascii="Times New Roman" w:hAnsi="Times New Roman" w:cs="Times New Roman"/>
                <w:sz w:val="20"/>
                <w:szCs w:val="20"/>
              </w:rPr>
            </w:pPr>
            <w:r w:rsidRPr="001A7F8A">
              <w:rPr>
                <w:rFonts w:ascii="Times New Roman" w:hAnsi="Times New Roman" w:cs="Times New Roman"/>
                <w:sz w:val="20"/>
                <w:szCs w:val="20"/>
              </w:rPr>
              <w:t>6 300 000</w:t>
            </w:r>
          </w:p>
        </w:tc>
        <w:tc>
          <w:tcPr>
            <w:tcW w:w="1134" w:type="dxa"/>
            <w:tcBorders>
              <w:top w:val="single" w:sz="4" w:space="0" w:color="auto"/>
              <w:bottom w:val="single" w:sz="4" w:space="0" w:color="auto"/>
            </w:tcBorders>
            <w:vAlign w:val="center"/>
          </w:tcPr>
          <w:p w:rsidR="00F168CE" w:rsidRPr="001A7F8A" w:rsidRDefault="00F168CE" w:rsidP="00761082">
            <w:pPr>
              <w:jc w:val="center"/>
              <w:rPr>
                <w:rFonts w:ascii="Times New Roman" w:hAnsi="Times New Roman" w:cs="Times New Roman"/>
                <w:sz w:val="20"/>
                <w:szCs w:val="20"/>
              </w:rPr>
            </w:pPr>
            <w:r w:rsidRPr="001A7F8A">
              <w:rPr>
                <w:rFonts w:ascii="Times New Roman" w:hAnsi="Times New Roman" w:cs="Times New Roman"/>
                <w:sz w:val="20"/>
                <w:szCs w:val="20"/>
              </w:rPr>
              <w:t>6 300 000</w:t>
            </w:r>
          </w:p>
        </w:tc>
        <w:tc>
          <w:tcPr>
            <w:tcW w:w="1276" w:type="dxa"/>
            <w:gridSpan w:val="2"/>
            <w:tcBorders>
              <w:top w:val="single" w:sz="4" w:space="0" w:color="auto"/>
              <w:bottom w:val="single" w:sz="4" w:space="0" w:color="auto"/>
            </w:tcBorders>
            <w:vAlign w:val="center"/>
          </w:tcPr>
          <w:p w:rsidR="00F168CE" w:rsidRPr="00F168CE" w:rsidRDefault="00F168CE" w:rsidP="00761082">
            <w:pPr>
              <w:jc w:val="center"/>
              <w:rPr>
                <w:rFonts w:ascii="Times New Roman" w:hAnsi="Times New Roman" w:cs="Times New Roman"/>
                <w:sz w:val="20"/>
                <w:szCs w:val="20"/>
              </w:rPr>
            </w:pPr>
            <w:r w:rsidRPr="001A7F8A">
              <w:rPr>
                <w:rFonts w:ascii="Times New Roman" w:hAnsi="Times New Roman" w:cs="Times New Roman"/>
                <w:sz w:val="20"/>
                <w:szCs w:val="20"/>
              </w:rPr>
              <w:t>6 300 000</w:t>
            </w:r>
          </w:p>
        </w:tc>
      </w:tr>
      <w:tr w:rsidR="0029525B" w:rsidRPr="0029525B" w:rsidTr="00C00BF9">
        <w:trPr>
          <w:gridAfter w:val="1"/>
          <w:wAfter w:w="1276" w:type="dxa"/>
          <w:trHeight w:val="377"/>
        </w:trPr>
        <w:tc>
          <w:tcPr>
            <w:tcW w:w="5245" w:type="dxa"/>
            <w:tcBorders>
              <w:top w:val="single" w:sz="4" w:space="0" w:color="auto"/>
              <w:bottom w:val="nil"/>
            </w:tcBorders>
          </w:tcPr>
          <w:p w:rsidR="0029525B" w:rsidRPr="0029525B" w:rsidRDefault="0029525B" w:rsidP="0029525B">
            <w:pPr>
              <w:jc w:val="both"/>
              <w:rPr>
                <w:rFonts w:ascii="Times New Roman" w:hAnsi="Times New Roman" w:cs="Times New Roman"/>
                <w:b/>
                <w:bCs/>
                <w:sz w:val="20"/>
                <w:szCs w:val="20"/>
              </w:rPr>
            </w:pPr>
            <w:r w:rsidRPr="0029525B">
              <w:rPr>
                <w:rFonts w:ascii="Times New Roman" w:eastAsia="Calibri" w:hAnsi="Times New Roman" w:cs="Times New Roman"/>
                <w:bCs/>
                <w:sz w:val="20"/>
                <w:szCs w:val="20"/>
                <w:lang w:val="en-US"/>
              </w:rPr>
              <w:t>1</w:t>
            </w:r>
            <w:r w:rsidR="001F782D">
              <w:rPr>
                <w:rFonts w:ascii="Times New Roman" w:eastAsia="Calibri" w:hAnsi="Times New Roman" w:cs="Times New Roman"/>
                <w:bCs/>
                <w:sz w:val="20"/>
                <w:szCs w:val="20"/>
              </w:rPr>
              <w:t>1</w:t>
            </w:r>
            <w:r w:rsidRPr="0029525B">
              <w:rPr>
                <w:rFonts w:ascii="Times New Roman" w:eastAsia="Calibri" w:hAnsi="Times New Roman" w:cs="Times New Roman"/>
                <w:bCs/>
                <w:sz w:val="20"/>
                <w:szCs w:val="20"/>
                <w:lang w:val="en-US"/>
              </w:rPr>
              <w:t>.</w:t>
            </w:r>
            <w:r w:rsidRPr="0029525B">
              <w:rPr>
                <w:rFonts w:ascii="Times New Roman" w:eastAsia="Calibri" w:hAnsi="Times New Roman" w:cs="Times New Roman"/>
                <w:bCs/>
                <w:sz w:val="20"/>
                <w:szCs w:val="20"/>
              </w:rPr>
              <w:t xml:space="preserve">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w:t>
            </w:r>
            <w:r w:rsidRPr="0029525B">
              <w:rPr>
                <w:rFonts w:ascii="Times New Roman" w:eastAsia="Calibri" w:hAnsi="Times New Roman" w:cs="Times New Roman"/>
                <w:bCs/>
                <w:sz w:val="20"/>
                <w:szCs w:val="20"/>
                <w:lang w:val="en-US"/>
              </w:rPr>
              <w:t xml:space="preserve">I, II </w:t>
            </w:r>
            <w:r w:rsidRPr="0029525B">
              <w:rPr>
                <w:rFonts w:ascii="Times New Roman" w:eastAsia="Calibri" w:hAnsi="Times New Roman" w:cs="Times New Roman"/>
                <w:bCs/>
                <w:sz w:val="20"/>
                <w:szCs w:val="20"/>
              </w:rPr>
              <w:t xml:space="preserve">и </w:t>
            </w:r>
            <w:r w:rsidRPr="0029525B">
              <w:rPr>
                <w:rFonts w:ascii="Times New Roman" w:eastAsia="Calibri" w:hAnsi="Times New Roman" w:cs="Times New Roman"/>
                <w:bCs/>
                <w:sz w:val="20"/>
                <w:szCs w:val="20"/>
                <w:lang w:val="en-US"/>
              </w:rPr>
              <w:t xml:space="preserve">III </w:t>
            </w:r>
            <w:r w:rsidRPr="0029525B">
              <w:rPr>
                <w:rFonts w:ascii="Times New Roman" w:eastAsia="Calibri" w:hAnsi="Times New Roman" w:cs="Times New Roman"/>
                <w:bCs/>
                <w:sz w:val="20"/>
                <w:szCs w:val="20"/>
              </w:rPr>
              <w:t xml:space="preserve">категория </w:t>
            </w:r>
          </w:p>
        </w:tc>
        <w:tc>
          <w:tcPr>
            <w:tcW w:w="851" w:type="dxa"/>
            <w:tcBorders>
              <w:top w:val="single" w:sz="4" w:space="0" w:color="auto"/>
              <w:bottom w:val="nil"/>
            </w:tcBorders>
            <w:shd w:val="clear" w:color="auto" w:fill="F2F2F2" w:themeFill="background1" w:themeFillShade="F2"/>
            <w:vAlign w:val="center"/>
          </w:tcPr>
          <w:p w:rsidR="0029525B" w:rsidRPr="0029525B" w:rsidRDefault="0029525B" w:rsidP="00C00BF9">
            <w:pPr>
              <w:jc w:val="center"/>
              <w:rPr>
                <w:rFonts w:ascii="Times New Roman" w:hAnsi="Times New Roman" w:cs="Times New Roman"/>
                <w:bCs/>
                <w:sz w:val="20"/>
                <w:szCs w:val="20"/>
              </w:rPr>
            </w:pPr>
            <w:r w:rsidRPr="0029525B">
              <w:rPr>
                <w:rFonts w:ascii="Times New Roman" w:hAnsi="Times New Roman" w:cs="Times New Roman"/>
                <w:bCs/>
                <w:sz w:val="20"/>
                <w:szCs w:val="20"/>
              </w:rPr>
              <w:t>%</w:t>
            </w:r>
          </w:p>
        </w:tc>
        <w:tc>
          <w:tcPr>
            <w:tcW w:w="1275" w:type="dxa"/>
            <w:tcBorders>
              <w:top w:val="single" w:sz="4" w:space="0" w:color="auto"/>
              <w:bottom w:val="nil"/>
            </w:tcBorders>
            <w:vAlign w:val="center"/>
          </w:tcPr>
          <w:p w:rsidR="0029525B" w:rsidRPr="0029525B" w:rsidRDefault="0029525B" w:rsidP="00C00BF9">
            <w:pPr>
              <w:jc w:val="center"/>
              <w:rPr>
                <w:rFonts w:ascii="Times New Roman" w:hAnsi="Times New Roman" w:cs="Times New Roman"/>
                <w:bCs/>
                <w:sz w:val="20"/>
                <w:szCs w:val="20"/>
              </w:rPr>
            </w:pPr>
            <w:r w:rsidRPr="0029525B">
              <w:rPr>
                <w:rFonts w:ascii="Times New Roman" w:hAnsi="Times New Roman" w:cs="Times New Roman"/>
                <w:bCs/>
                <w:sz w:val="20"/>
                <w:szCs w:val="20"/>
              </w:rPr>
              <w:t>100</w:t>
            </w:r>
          </w:p>
        </w:tc>
        <w:tc>
          <w:tcPr>
            <w:tcW w:w="1134" w:type="dxa"/>
            <w:tcBorders>
              <w:top w:val="single" w:sz="4" w:space="0" w:color="auto"/>
              <w:bottom w:val="nil"/>
            </w:tcBorders>
            <w:vAlign w:val="center"/>
          </w:tcPr>
          <w:p w:rsidR="0029525B" w:rsidRPr="0029525B" w:rsidRDefault="0029525B" w:rsidP="00C00BF9">
            <w:pPr>
              <w:jc w:val="center"/>
              <w:rPr>
                <w:rFonts w:ascii="Times New Roman" w:hAnsi="Times New Roman" w:cs="Times New Roman"/>
                <w:bCs/>
                <w:sz w:val="20"/>
                <w:szCs w:val="20"/>
              </w:rPr>
            </w:pPr>
            <w:r w:rsidRPr="0029525B">
              <w:rPr>
                <w:rFonts w:ascii="Times New Roman" w:hAnsi="Times New Roman" w:cs="Times New Roman"/>
                <w:bCs/>
                <w:sz w:val="20"/>
                <w:szCs w:val="20"/>
              </w:rPr>
              <w:t>100</w:t>
            </w:r>
          </w:p>
        </w:tc>
        <w:tc>
          <w:tcPr>
            <w:tcW w:w="1276" w:type="dxa"/>
            <w:gridSpan w:val="2"/>
            <w:tcBorders>
              <w:top w:val="single" w:sz="4" w:space="0" w:color="auto"/>
              <w:bottom w:val="nil"/>
            </w:tcBorders>
            <w:vAlign w:val="center"/>
          </w:tcPr>
          <w:p w:rsidR="0029525B" w:rsidRPr="0029525B" w:rsidRDefault="0029525B" w:rsidP="00C00BF9">
            <w:pPr>
              <w:jc w:val="center"/>
              <w:rPr>
                <w:rFonts w:ascii="Times New Roman" w:hAnsi="Times New Roman" w:cs="Times New Roman"/>
                <w:bCs/>
                <w:sz w:val="20"/>
                <w:szCs w:val="20"/>
              </w:rPr>
            </w:pPr>
            <w:r w:rsidRPr="0029525B">
              <w:rPr>
                <w:rFonts w:ascii="Times New Roman" w:hAnsi="Times New Roman" w:cs="Times New Roman"/>
                <w:bCs/>
                <w:sz w:val="20"/>
                <w:szCs w:val="20"/>
              </w:rPr>
              <w:t>100</w:t>
            </w:r>
          </w:p>
        </w:tc>
      </w:tr>
      <w:tr w:rsidR="0029525B" w:rsidRPr="0029525B" w:rsidTr="00C00BF9">
        <w:trPr>
          <w:gridAfter w:val="1"/>
          <w:wAfter w:w="1276" w:type="dxa"/>
          <w:trHeight w:val="377"/>
        </w:trPr>
        <w:tc>
          <w:tcPr>
            <w:tcW w:w="5245" w:type="dxa"/>
            <w:tcBorders>
              <w:top w:val="single" w:sz="4" w:space="0" w:color="auto"/>
              <w:bottom w:val="nil"/>
            </w:tcBorders>
          </w:tcPr>
          <w:p w:rsidR="0029525B" w:rsidRPr="0029525B" w:rsidRDefault="0029525B" w:rsidP="0029525B">
            <w:pPr>
              <w:rPr>
                <w:rFonts w:ascii="Times New Roman" w:hAnsi="Times New Roman" w:cs="Times New Roman"/>
                <w:b/>
                <w:bCs/>
                <w:sz w:val="20"/>
                <w:szCs w:val="20"/>
              </w:rPr>
            </w:pPr>
            <w:r>
              <w:rPr>
                <w:rFonts w:ascii="Times New Roman" w:hAnsi="Times New Roman" w:cs="Times New Roman"/>
                <w:sz w:val="20"/>
                <w:szCs w:val="20"/>
              </w:rPr>
              <w:t>1</w:t>
            </w:r>
            <w:r w:rsidR="001F782D">
              <w:rPr>
                <w:rFonts w:ascii="Times New Roman" w:hAnsi="Times New Roman" w:cs="Times New Roman"/>
                <w:sz w:val="20"/>
                <w:szCs w:val="20"/>
              </w:rPr>
              <w:t>2</w:t>
            </w:r>
            <w:r w:rsidRPr="0029525B">
              <w:rPr>
                <w:rFonts w:ascii="Times New Roman" w:hAnsi="Times New Roman" w:cs="Times New Roman"/>
                <w:b/>
                <w:sz w:val="20"/>
                <w:szCs w:val="20"/>
              </w:rPr>
              <w:t xml:space="preserve">. </w:t>
            </w:r>
            <w:r w:rsidRPr="0029525B">
              <w:rPr>
                <w:rFonts w:ascii="Times New Roman" w:eastAsia="Calibri" w:hAnsi="Times New Roman" w:cs="Times New Roman"/>
                <w:bCs/>
                <w:sz w:val="20"/>
                <w:szCs w:val="20"/>
              </w:rPr>
              <w:t xml:space="preserve">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w:t>
            </w:r>
          </w:p>
        </w:tc>
        <w:tc>
          <w:tcPr>
            <w:tcW w:w="851" w:type="dxa"/>
            <w:tcBorders>
              <w:top w:val="single" w:sz="4" w:space="0" w:color="auto"/>
              <w:bottom w:val="single" w:sz="4" w:space="0" w:color="auto"/>
            </w:tcBorders>
            <w:shd w:val="clear" w:color="auto" w:fill="F2F2F2" w:themeFill="background1" w:themeFillShade="F2"/>
            <w:vAlign w:val="center"/>
          </w:tcPr>
          <w:p w:rsidR="0029525B" w:rsidRPr="0029525B" w:rsidRDefault="0029525B" w:rsidP="00C00BF9">
            <w:pPr>
              <w:jc w:val="center"/>
              <w:rPr>
                <w:rFonts w:ascii="Times New Roman" w:hAnsi="Times New Roman" w:cs="Times New Roman"/>
                <w:bCs/>
                <w:sz w:val="20"/>
                <w:szCs w:val="20"/>
              </w:rPr>
            </w:pPr>
            <w:r w:rsidRPr="0029525B">
              <w:rPr>
                <w:rFonts w:ascii="Times New Roman" w:hAnsi="Times New Roman" w:cs="Times New Roman"/>
                <w:bCs/>
                <w:sz w:val="20"/>
                <w:szCs w:val="20"/>
              </w:rPr>
              <w:t>%</w:t>
            </w:r>
          </w:p>
        </w:tc>
        <w:tc>
          <w:tcPr>
            <w:tcW w:w="1275" w:type="dxa"/>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bCs/>
                <w:sz w:val="20"/>
                <w:szCs w:val="20"/>
                <w:lang w:val="en-US"/>
              </w:rPr>
            </w:pPr>
            <w:r w:rsidRPr="0029525B">
              <w:rPr>
                <w:rFonts w:ascii="Times New Roman" w:hAnsi="Times New Roman" w:cs="Times New Roman"/>
                <w:bCs/>
                <w:sz w:val="20"/>
                <w:szCs w:val="20"/>
                <w:lang w:val="en-US"/>
              </w:rPr>
              <w:t>Min.(1)</w:t>
            </w:r>
          </w:p>
        </w:tc>
        <w:tc>
          <w:tcPr>
            <w:tcW w:w="1134" w:type="dxa"/>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bCs/>
                <w:sz w:val="20"/>
                <w:szCs w:val="20"/>
                <w:lang w:val="en-US"/>
              </w:rPr>
            </w:pPr>
            <w:r w:rsidRPr="0029525B">
              <w:rPr>
                <w:rFonts w:ascii="Times New Roman" w:hAnsi="Times New Roman" w:cs="Times New Roman"/>
                <w:bCs/>
                <w:sz w:val="20"/>
                <w:szCs w:val="20"/>
                <w:lang w:val="en-US"/>
              </w:rPr>
              <w:t>Min.(1)</w:t>
            </w:r>
          </w:p>
        </w:tc>
        <w:tc>
          <w:tcPr>
            <w:tcW w:w="1276" w:type="dxa"/>
            <w:gridSpan w:val="2"/>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bCs/>
                <w:sz w:val="20"/>
                <w:szCs w:val="20"/>
                <w:lang w:val="en-US"/>
              </w:rPr>
            </w:pPr>
            <w:r w:rsidRPr="0029525B">
              <w:rPr>
                <w:rFonts w:ascii="Times New Roman" w:hAnsi="Times New Roman" w:cs="Times New Roman"/>
                <w:bCs/>
                <w:sz w:val="20"/>
                <w:szCs w:val="20"/>
                <w:lang w:val="en-US"/>
              </w:rPr>
              <w:t>Min.(1)</w:t>
            </w:r>
          </w:p>
        </w:tc>
      </w:tr>
      <w:tr w:rsidR="0029525B" w:rsidRPr="0029525B" w:rsidTr="00C00BF9">
        <w:trPr>
          <w:gridAfter w:val="1"/>
          <w:wAfter w:w="1276" w:type="dxa"/>
          <w:trHeight w:val="377"/>
        </w:trPr>
        <w:tc>
          <w:tcPr>
            <w:tcW w:w="5245" w:type="dxa"/>
            <w:tcBorders>
              <w:top w:val="single" w:sz="4" w:space="0" w:color="auto"/>
              <w:bottom w:val="single" w:sz="4" w:space="0" w:color="auto"/>
            </w:tcBorders>
          </w:tcPr>
          <w:p w:rsidR="0029525B" w:rsidRPr="0029525B" w:rsidRDefault="0029525B" w:rsidP="0029525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F782D">
              <w:rPr>
                <w:rFonts w:ascii="Times New Roman" w:hAnsi="Times New Roman" w:cs="Times New Roman"/>
                <w:color w:val="000000" w:themeColor="text1"/>
                <w:sz w:val="20"/>
                <w:szCs w:val="20"/>
              </w:rPr>
              <w:t>3</w:t>
            </w:r>
            <w:r w:rsidRPr="0029525B">
              <w:rPr>
                <w:rFonts w:ascii="Times New Roman" w:hAnsi="Times New Roman" w:cs="Times New Roman"/>
                <w:color w:val="000000" w:themeColor="text1"/>
                <w:sz w:val="20"/>
                <w:szCs w:val="20"/>
              </w:rPr>
              <w:t>. Поддържане на валидни сертификати, издадени на производители на строителни продукти, от лица за оценяване на строителни продукти</w:t>
            </w:r>
          </w:p>
        </w:tc>
        <w:tc>
          <w:tcPr>
            <w:tcW w:w="851" w:type="dxa"/>
            <w:tcBorders>
              <w:top w:val="single" w:sz="4" w:space="0" w:color="auto"/>
              <w:bottom w:val="single" w:sz="4" w:space="0" w:color="auto"/>
            </w:tcBorders>
            <w:shd w:val="clear" w:color="auto" w:fill="F2F2F2" w:themeFill="background1" w:themeFillShade="F2"/>
            <w:vAlign w:val="center"/>
          </w:tcPr>
          <w:p w:rsidR="0029525B" w:rsidRPr="0029525B" w:rsidRDefault="0029525B" w:rsidP="00C00BF9">
            <w:pPr>
              <w:jc w:val="center"/>
              <w:rPr>
                <w:rFonts w:ascii="Times New Roman" w:hAnsi="Times New Roman" w:cs="Times New Roman"/>
                <w:sz w:val="20"/>
                <w:szCs w:val="20"/>
              </w:rPr>
            </w:pPr>
            <w:r w:rsidRPr="0029525B">
              <w:rPr>
                <w:rFonts w:ascii="Times New Roman" w:hAnsi="Times New Roman" w:cs="Times New Roman"/>
                <w:sz w:val="20"/>
                <w:szCs w:val="20"/>
              </w:rPr>
              <w:t>брой</w:t>
            </w:r>
          </w:p>
        </w:tc>
        <w:tc>
          <w:tcPr>
            <w:tcW w:w="1275" w:type="dxa"/>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color w:val="000000" w:themeColor="text1"/>
                <w:sz w:val="20"/>
                <w:szCs w:val="20"/>
              </w:rPr>
            </w:pPr>
            <w:r w:rsidRPr="0029525B">
              <w:rPr>
                <w:rFonts w:ascii="Times New Roman" w:hAnsi="Times New Roman" w:cs="Times New Roman"/>
                <w:color w:val="000000" w:themeColor="text1"/>
                <w:sz w:val="20"/>
                <w:szCs w:val="20"/>
              </w:rPr>
              <w:t>800</w:t>
            </w:r>
          </w:p>
        </w:tc>
        <w:tc>
          <w:tcPr>
            <w:tcW w:w="1134" w:type="dxa"/>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color w:val="000000" w:themeColor="text1"/>
                <w:sz w:val="20"/>
                <w:szCs w:val="20"/>
              </w:rPr>
            </w:pPr>
            <w:r w:rsidRPr="0029525B">
              <w:rPr>
                <w:rFonts w:ascii="Times New Roman" w:hAnsi="Times New Roman" w:cs="Times New Roman"/>
                <w:color w:val="000000" w:themeColor="text1"/>
                <w:sz w:val="20"/>
                <w:szCs w:val="20"/>
              </w:rPr>
              <w:t>800</w:t>
            </w:r>
          </w:p>
        </w:tc>
        <w:tc>
          <w:tcPr>
            <w:tcW w:w="1276" w:type="dxa"/>
            <w:gridSpan w:val="2"/>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color w:val="000000" w:themeColor="text1"/>
                <w:sz w:val="20"/>
                <w:szCs w:val="20"/>
              </w:rPr>
            </w:pPr>
            <w:r w:rsidRPr="0029525B">
              <w:rPr>
                <w:rFonts w:ascii="Times New Roman" w:hAnsi="Times New Roman" w:cs="Times New Roman"/>
                <w:color w:val="000000" w:themeColor="text1"/>
                <w:sz w:val="20"/>
                <w:szCs w:val="20"/>
                <w:lang w:val="en-US"/>
              </w:rPr>
              <w:t>800</w:t>
            </w:r>
          </w:p>
        </w:tc>
      </w:tr>
      <w:tr w:rsidR="0029525B" w:rsidRPr="0029525B" w:rsidTr="00C00BF9">
        <w:trPr>
          <w:gridAfter w:val="1"/>
          <w:wAfter w:w="1276" w:type="dxa"/>
          <w:trHeight w:val="377"/>
        </w:trPr>
        <w:tc>
          <w:tcPr>
            <w:tcW w:w="5245" w:type="dxa"/>
            <w:tcBorders>
              <w:top w:val="nil"/>
              <w:bottom w:val="single" w:sz="4" w:space="0" w:color="auto"/>
            </w:tcBorders>
          </w:tcPr>
          <w:p w:rsidR="0029525B" w:rsidRPr="0029525B" w:rsidRDefault="0029525B" w:rsidP="0029525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1F782D">
              <w:rPr>
                <w:rFonts w:ascii="Times New Roman" w:hAnsi="Times New Roman" w:cs="Times New Roman"/>
                <w:color w:val="000000" w:themeColor="text1"/>
                <w:sz w:val="20"/>
                <w:szCs w:val="20"/>
              </w:rPr>
              <w:t>4</w:t>
            </w:r>
            <w:r w:rsidRPr="0029525B">
              <w:rPr>
                <w:rFonts w:ascii="Times New Roman" w:hAnsi="Times New Roman" w:cs="Times New Roman"/>
                <w:color w:val="000000" w:themeColor="text1"/>
                <w:sz w:val="20"/>
                <w:szCs w:val="20"/>
              </w:rPr>
              <w:t>.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p>
        </w:tc>
        <w:tc>
          <w:tcPr>
            <w:tcW w:w="851" w:type="dxa"/>
            <w:tcBorders>
              <w:top w:val="nil"/>
              <w:bottom w:val="single" w:sz="4" w:space="0" w:color="auto"/>
            </w:tcBorders>
            <w:shd w:val="clear" w:color="auto" w:fill="F2F2F2" w:themeFill="background1" w:themeFillShade="F2"/>
            <w:vAlign w:val="center"/>
          </w:tcPr>
          <w:p w:rsidR="0029525B" w:rsidRPr="0029525B" w:rsidRDefault="0029525B" w:rsidP="00C00BF9">
            <w:pPr>
              <w:jc w:val="center"/>
              <w:rPr>
                <w:rFonts w:ascii="Times New Roman" w:hAnsi="Times New Roman" w:cs="Times New Roman"/>
                <w:sz w:val="20"/>
                <w:szCs w:val="20"/>
              </w:rPr>
            </w:pPr>
            <w:r w:rsidRPr="0029525B">
              <w:rPr>
                <w:rFonts w:ascii="Times New Roman" w:hAnsi="Times New Roman" w:cs="Times New Roman"/>
                <w:sz w:val="20"/>
                <w:szCs w:val="20"/>
              </w:rPr>
              <w:t>брой</w:t>
            </w:r>
          </w:p>
        </w:tc>
        <w:tc>
          <w:tcPr>
            <w:tcW w:w="1275" w:type="dxa"/>
            <w:tcBorders>
              <w:top w:val="nil"/>
              <w:bottom w:val="single" w:sz="4" w:space="0" w:color="auto"/>
            </w:tcBorders>
            <w:vAlign w:val="center"/>
          </w:tcPr>
          <w:p w:rsidR="0029525B" w:rsidRPr="0029525B" w:rsidRDefault="0029525B" w:rsidP="00C00BF9">
            <w:pPr>
              <w:jc w:val="center"/>
              <w:rPr>
                <w:rFonts w:ascii="Times New Roman" w:hAnsi="Times New Roman" w:cs="Times New Roman"/>
                <w:color w:val="000000" w:themeColor="text1"/>
                <w:sz w:val="20"/>
                <w:szCs w:val="20"/>
                <w:lang w:val="en-US"/>
              </w:rPr>
            </w:pPr>
            <w:r w:rsidRPr="0029525B">
              <w:rPr>
                <w:rFonts w:ascii="Times New Roman" w:hAnsi="Times New Roman" w:cs="Times New Roman"/>
                <w:color w:val="000000" w:themeColor="text1"/>
                <w:sz w:val="20"/>
                <w:szCs w:val="20"/>
                <w:lang w:val="en-US"/>
              </w:rPr>
              <w:t>5</w:t>
            </w:r>
          </w:p>
        </w:tc>
        <w:tc>
          <w:tcPr>
            <w:tcW w:w="1134" w:type="dxa"/>
            <w:tcBorders>
              <w:top w:val="nil"/>
              <w:bottom w:val="single" w:sz="4" w:space="0" w:color="auto"/>
            </w:tcBorders>
            <w:vAlign w:val="center"/>
          </w:tcPr>
          <w:p w:rsidR="0029525B" w:rsidRPr="0029525B" w:rsidRDefault="0029525B" w:rsidP="00C00BF9">
            <w:pPr>
              <w:jc w:val="center"/>
              <w:rPr>
                <w:rFonts w:ascii="Times New Roman" w:hAnsi="Times New Roman" w:cs="Times New Roman"/>
                <w:color w:val="000000" w:themeColor="text1"/>
                <w:sz w:val="20"/>
                <w:szCs w:val="20"/>
                <w:lang w:val="en-US"/>
              </w:rPr>
            </w:pPr>
            <w:r w:rsidRPr="0029525B">
              <w:rPr>
                <w:rFonts w:ascii="Times New Roman" w:hAnsi="Times New Roman" w:cs="Times New Roman"/>
                <w:color w:val="000000" w:themeColor="text1"/>
                <w:sz w:val="20"/>
                <w:szCs w:val="20"/>
                <w:lang w:val="en-US"/>
              </w:rPr>
              <w:t>5</w:t>
            </w:r>
          </w:p>
        </w:tc>
        <w:tc>
          <w:tcPr>
            <w:tcW w:w="1276" w:type="dxa"/>
            <w:gridSpan w:val="2"/>
            <w:tcBorders>
              <w:top w:val="nil"/>
              <w:bottom w:val="single" w:sz="4" w:space="0" w:color="auto"/>
            </w:tcBorders>
            <w:vAlign w:val="center"/>
          </w:tcPr>
          <w:p w:rsidR="0029525B" w:rsidRPr="0029525B" w:rsidRDefault="0029525B" w:rsidP="00C00BF9">
            <w:pPr>
              <w:jc w:val="center"/>
              <w:rPr>
                <w:rFonts w:ascii="Times New Roman" w:hAnsi="Times New Roman" w:cs="Times New Roman"/>
                <w:color w:val="000000" w:themeColor="text1"/>
                <w:sz w:val="20"/>
                <w:szCs w:val="20"/>
                <w:lang w:val="en-US"/>
              </w:rPr>
            </w:pPr>
            <w:r w:rsidRPr="0029525B">
              <w:rPr>
                <w:rFonts w:ascii="Times New Roman" w:hAnsi="Times New Roman" w:cs="Times New Roman"/>
                <w:color w:val="000000" w:themeColor="text1"/>
                <w:sz w:val="20"/>
                <w:szCs w:val="20"/>
                <w:lang w:val="en-US"/>
              </w:rPr>
              <w:t>5</w:t>
            </w:r>
          </w:p>
        </w:tc>
      </w:tr>
      <w:tr w:rsidR="0029525B" w:rsidRPr="0029525B" w:rsidTr="00C00BF9">
        <w:trPr>
          <w:gridAfter w:val="1"/>
          <w:wAfter w:w="1276" w:type="dxa"/>
          <w:trHeight w:val="377"/>
        </w:trPr>
        <w:tc>
          <w:tcPr>
            <w:tcW w:w="5245" w:type="dxa"/>
            <w:tcBorders>
              <w:top w:val="single" w:sz="4" w:space="0" w:color="auto"/>
              <w:bottom w:val="single" w:sz="4" w:space="0" w:color="auto"/>
            </w:tcBorders>
          </w:tcPr>
          <w:p w:rsidR="0029525B" w:rsidRPr="0029525B" w:rsidRDefault="0029525B" w:rsidP="0029525B">
            <w:pPr>
              <w:jc w:val="both"/>
              <w:rPr>
                <w:rFonts w:ascii="Times New Roman" w:hAnsi="Times New Roman" w:cs="Times New Roman"/>
                <w:sz w:val="20"/>
                <w:szCs w:val="20"/>
              </w:rPr>
            </w:pPr>
            <w:r>
              <w:rPr>
                <w:rFonts w:ascii="Times New Roman" w:hAnsi="Times New Roman" w:cs="Times New Roman"/>
                <w:sz w:val="20"/>
                <w:szCs w:val="20"/>
              </w:rPr>
              <w:t>1</w:t>
            </w:r>
            <w:r w:rsidR="001F782D">
              <w:rPr>
                <w:rFonts w:ascii="Times New Roman" w:hAnsi="Times New Roman" w:cs="Times New Roman"/>
                <w:sz w:val="20"/>
                <w:szCs w:val="20"/>
              </w:rPr>
              <w:t>5</w:t>
            </w:r>
            <w:r w:rsidRPr="0029525B">
              <w:rPr>
                <w:rFonts w:ascii="Times New Roman" w:hAnsi="Times New Roman" w:cs="Times New Roman"/>
                <w:sz w:val="20"/>
                <w:szCs w:val="20"/>
              </w:rPr>
              <w:t>. Поддържане на регулаторна база от технически нормативни актове за обследване, проектиране, изграждане и поддържане на строежите</w:t>
            </w:r>
          </w:p>
        </w:tc>
        <w:tc>
          <w:tcPr>
            <w:tcW w:w="851" w:type="dxa"/>
            <w:tcBorders>
              <w:top w:val="single" w:sz="4" w:space="0" w:color="auto"/>
              <w:bottom w:val="single" w:sz="4" w:space="0" w:color="auto"/>
            </w:tcBorders>
            <w:shd w:val="clear" w:color="auto" w:fill="F2F2F2" w:themeFill="background1" w:themeFillShade="F2"/>
            <w:vAlign w:val="center"/>
          </w:tcPr>
          <w:p w:rsidR="0029525B" w:rsidRPr="0029525B" w:rsidRDefault="0029525B" w:rsidP="00C00BF9">
            <w:pPr>
              <w:jc w:val="center"/>
              <w:rPr>
                <w:rFonts w:ascii="Times New Roman" w:hAnsi="Times New Roman" w:cs="Times New Roman"/>
                <w:sz w:val="20"/>
                <w:szCs w:val="20"/>
              </w:rPr>
            </w:pPr>
            <w:r w:rsidRPr="0029525B">
              <w:rPr>
                <w:rFonts w:ascii="Times New Roman" w:hAnsi="Times New Roman" w:cs="Times New Roman"/>
                <w:sz w:val="20"/>
                <w:szCs w:val="20"/>
              </w:rPr>
              <w:t>брой</w:t>
            </w:r>
          </w:p>
        </w:tc>
        <w:tc>
          <w:tcPr>
            <w:tcW w:w="1275" w:type="dxa"/>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sz w:val="20"/>
                <w:szCs w:val="20"/>
              </w:rPr>
            </w:pPr>
            <w:r w:rsidRPr="0029525B">
              <w:rPr>
                <w:rFonts w:ascii="Times New Roman" w:hAnsi="Times New Roman" w:cs="Times New Roman"/>
                <w:sz w:val="20"/>
                <w:szCs w:val="20"/>
              </w:rPr>
              <w:t>73</w:t>
            </w:r>
          </w:p>
        </w:tc>
        <w:tc>
          <w:tcPr>
            <w:tcW w:w="1134" w:type="dxa"/>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sz w:val="20"/>
                <w:szCs w:val="20"/>
              </w:rPr>
            </w:pPr>
            <w:r w:rsidRPr="0029525B">
              <w:rPr>
                <w:rFonts w:ascii="Times New Roman" w:hAnsi="Times New Roman" w:cs="Times New Roman"/>
                <w:sz w:val="20"/>
                <w:szCs w:val="20"/>
              </w:rPr>
              <w:t>75</w:t>
            </w:r>
          </w:p>
        </w:tc>
        <w:tc>
          <w:tcPr>
            <w:tcW w:w="1276" w:type="dxa"/>
            <w:gridSpan w:val="2"/>
            <w:tcBorders>
              <w:top w:val="single" w:sz="4" w:space="0" w:color="auto"/>
              <w:bottom w:val="single" w:sz="4" w:space="0" w:color="auto"/>
            </w:tcBorders>
            <w:vAlign w:val="center"/>
          </w:tcPr>
          <w:p w:rsidR="0029525B" w:rsidRPr="0029525B" w:rsidRDefault="0029525B" w:rsidP="00C00BF9">
            <w:pPr>
              <w:jc w:val="center"/>
              <w:rPr>
                <w:rFonts w:ascii="Times New Roman" w:hAnsi="Times New Roman" w:cs="Times New Roman"/>
                <w:sz w:val="20"/>
                <w:szCs w:val="20"/>
              </w:rPr>
            </w:pPr>
            <w:r w:rsidRPr="0029525B">
              <w:rPr>
                <w:rFonts w:ascii="Times New Roman" w:hAnsi="Times New Roman" w:cs="Times New Roman"/>
                <w:sz w:val="20"/>
                <w:szCs w:val="20"/>
              </w:rPr>
              <w:t>75</w:t>
            </w:r>
          </w:p>
        </w:tc>
      </w:tr>
    </w:tbl>
    <w:p w:rsidR="005D27F6" w:rsidRDefault="005D27F6" w:rsidP="00A10F5E">
      <w:pPr>
        <w:spacing w:after="0" w:line="240" w:lineRule="auto"/>
        <w:ind w:firstLine="567"/>
        <w:contextualSpacing/>
        <w:jc w:val="both"/>
        <w:rPr>
          <w:rFonts w:ascii="Times New Roman" w:eastAsia="Calibri" w:hAnsi="Times New Roman" w:cs="Times New Roman"/>
          <w:b/>
          <w:i/>
          <w:color w:val="0000CC"/>
        </w:rPr>
      </w:pPr>
    </w:p>
    <w:p w:rsidR="000B4309" w:rsidRPr="000B4309" w:rsidRDefault="000B4309" w:rsidP="00A10F5E">
      <w:pPr>
        <w:spacing w:after="0" w:line="240" w:lineRule="auto"/>
        <w:ind w:firstLine="567"/>
        <w:contextualSpacing/>
        <w:jc w:val="both"/>
        <w:rPr>
          <w:rFonts w:ascii="Times New Roman" w:eastAsia="Calibri" w:hAnsi="Times New Roman" w:cs="Times New Roman"/>
          <w:b/>
          <w:i/>
          <w:color w:val="0000CC"/>
        </w:rPr>
      </w:pPr>
      <w:r w:rsidRPr="000B4309">
        <w:rPr>
          <w:rFonts w:ascii="Times New Roman" w:eastAsia="Calibri" w:hAnsi="Times New Roman" w:cs="Times New Roman"/>
          <w:b/>
          <w:i/>
          <w:color w:val="0000CC"/>
        </w:rPr>
        <w:t>Мотиви за промяна в целевата стойност на индикатори, съгласно утвърдените с РМС №</w:t>
      </w:r>
      <w:r w:rsidR="00E34AB2">
        <w:rPr>
          <w:rFonts w:ascii="Times New Roman" w:eastAsia="Calibri" w:hAnsi="Times New Roman" w:cs="Times New Roman"/>
          <w:b/>
          <w:i/>
          <w:color w:val="0000CC"/>
        </w:rPr>
        <w:t xml:space="preserve"> </w:t>
      </w:r>
      <w:r w:rsidRPr="000B4309">
        <w:rPr>
          <w:rFonts w:ascii="Times New Roman" w:eastAsia="Calibri" w:hAnsi="Times New Roman" w:cs="Times New Roman"/>
          <w:b/>
          <w:i/>
          <w:color w:val="0000CC"/>
        </w:rPr>
        <w:t>963/2020 г.:</w:t>
      </w:r>
    </w:p>
    <w:p w:rsidR="00992768" w:rsidRDefault="00992768" w:rsidP="00EE699D">
      <w:pPr>
        <w:pStyle w:val="ListParagraph"/>
        <w:numPr>
          <w:ilvl w:val="0"/>
          <w:numId w:val="35"/>
        </w:numPr>
        <w:tabs>
          <w:tab w:val="left" w:pos="851"/>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rPr>
        <w:t>Индикатор „Завършени геозащитни обекти/брегоукрепени участъци“ се разделя на 2 отделни индикатора – на „Завършени геозащитни обекти“ и на „Брегоукрепване“, с цел точност при отчитането им;</w:t>
      </w:r>
    </w:p>
    <w:p w:rsidR="000B4309" w:rsidRPr="00992768" w:rsidRDefault="000B4309" w:rsidP="00992768">
      <w:pPr>
        <w:pStyle w:val="ListParagraph"/>
        <w:numPr>
          <w:ilvl w:val="0"/>
          <w:numId w:val="1"/>
        </w:numPr>
        <w:tabs>
          <w:tab w:val="left" w:pos="851"/>
        </w:tabs>
        <w:spacing w:after="0" w:line="240" w:lineRule="auto"/>
        <w:ind w:left="0" w:firstLine="567"/>
        <w:jc w:val="both"/>
        <w:rPr>
          <w:rFonts w:ascii="Times New Roman" w:eastAsia="Calibri" w:hAnsi="Times New Roman" w:cs="Times New Roman"/>
        </w:rPr>
      </w:pPr>
      <w:r w:rsidRPr="00992768">
        <w:rPr>
          <w:rFonts w:ascii="Times New Roman" w:eastAsia="Calibri" w:hAnsi="Times New Roman" w:cs="Times New Roman"/>
        </w:rPr>
        <w:t xml:space="preserve">С оглед изпълнение на нормативно възложените функции на МРРБ за извършване на превантивни дейности по регистриране и мониторинг на свлачищни райони на територията на </w:t>
      </w:r>
      <w:r w:rsidRPr="00992768">
        <w:rPr>
          <w:rFonts w:ascii="Times New Roman" w:eastAsia="Calibri" w:hAnsi="Times New Roman" w:cs="Times New Roman"/>
        </w:rPr>
        <w:lastRenderedPageBreak/>
        <w:t xml:space="preserve">Република България съгласно чл. 95, ал. 1 от ЗУТ,  в т.ч. на абразионните и ерозионните процеси по Черноморското и Дунавското крайбрежие, като превантивни мерки за предотвратяване на аварии и щети, които се осъществяват от МРРБ чрез Държавното дружество за геозащита и неговите клонове приоритетно са увеличени финансовите средства за този вид дейност, като е предвидено да се увеличи контролирана свлачищна територия чрез извършване на мониторинг, като </w:t>
      </w:r>
      <w:r w:rsidR="00997364">
        <w:rPr>
          <w:rFonts w:ascii="Times New Roman" w:eastAsia="Calibri" w:hAnsi="Times New Roman" w:cs="Times New Roman"/>
          <w:b/>
          <w:i/>
        </w:rPr>
        <w:t>индикатор</w:t>
      </w:r>
      <w:r w:rsidRPr="00992768">
        <w:rPr>
          <w:rFonts w:ascii="Times New Roman" w:eastAsia="Calibri" w:hAnsi="Times New Roman" w:cs="Times New Roman"/>
          <w:b/>
          <w:i/>
        </w:rPr>
        <w:t xml:space="preserve"> „Контролирана свлачища територия</w:t>
      </w:r>
      <w:r w:rsidR="00992768">
        <w:rPr>
          <w:rFonts w:ascii="Times New Roman" w:eastAsia="Calibri" w:hAnsi="Times New Roman" w:cs="Times New Roman"/>
        </w:rPr>
        <w:t xml:space="preserve">“ от 800 ха на 1000 ха. </w:t>
      </w:r>
      <w:r w:rsidRPr="00992768">
        <w:rPr>
          <w:rFonts w:ascii="Times New Roman" w:eastAsia="Calibri" w:hAnsi="Times New Roman" w:cs="Times New Roman"/>
        </w:rPr>
        <w:t>Мониторингът на свлачищните райони е приоритет на МРРБ, поради което през 2021 г. са изградени нови контролно-измервателни системи за мониторинг на 26 свлачищни райони на територията на страната по процедура за предоставяне на безвъзмездна финансова помощ BG16M1OP002-4.003 „Превенция и противодействие на свлачищните процеси за ограничаване на риска от тях (вкл. по републиканска пътна мрежа), по приоритетна ос 4 „Превенция и управление на риска от наводнения и свлачища“ на Оперативна програма „Околна среда 2014-2020 г.”, в рамките на проект „Превантивни дейности чрез изграждане/ възстановяване на контролно-измервателни системи в регистрирани свлачищни райони“.</w:t>
      </w:r>
    </w:p>
    <w:p w:rsidR="000B4309" w:rsidRPr="00672F2D" w:rsidRDefault="000B4309" w:rsidP="00F3608A">
      <w:pPr>
        <w:tabs>
          <w:tab w:val="left" w:pos="851"/>
        </w:tabs>
        <w:spacing w:after="0" w:line="240" w:lineRule="auto"/>
        <w:ind w:firstLine="567"/>
        <w:contextualSpacing/>
        <w:jc w:val="both"/>
        <w:rPr>
          <w:rFonts w:ascii="Times New Roman" w:eastAsia="Calibri" w:hAnsi="Times New Roman" w:cs="Times New Roman"/>
        </w:rPr>
      </w:pPr>
      <w:r w:rsidRPr="00672F2D">
        <w:rPr>
          <w:rFonts w:ascii="Times New Roman" w:eastAsia="Calibri" w:hAnsi="Times New Roman" w:cs="Times New Roman"/>
        </w:rPr>
        <w:t>През 2022г. и 2023 г. се предвижда да бъдат заложени измервания на новоизградените</w:t>
      </w:r>
      <w:r w:rsidR="00A627B7" w:rsidRPr="00672F2D">
        <w:rPr>
          <w:rFonts w:ascii="Times New Roman" w:eastAsia="Calibri" w:hAnsi="Times New Roman" w:cs="Times New Roman"/>
          <w:lang w:val="en-US"/>
        </w:rPr>
        <w:t xml:space="preserve"> </w:t>
      </w:r>
      <w:r w:rsidRPr="00672F2D">
        <w:rPr>
          <w:rFonts w:ascii="Times New Roman" w:eastAsia="Calibri" w:hAnsi="Times New Roman" w:cs="Times New Roman"/>
        </w:rPr>
        <w:t>/възстановени през 2021 г. контролно-измервателни системи и мониторинг на допълнителни 26 свлачища, поради което посоченият показател за контролирана свлачищна територия се увеличава.</w:t>
      </w:r>
    </w:p>
    <w:p w:rsidR="00BF163D" w:rsidRPr="00BF163D" w:rsidRDefault="00BF163D" w:rsidP="00F3608A">
      <w:pPr>
        <w:pStyle w:val="ListParagraph"/>
        <w:numPr>
          <w:ilvl w:val="0"/>
          <w:numId w:val="1"/>
        </w:numPr>
        <w:spacing w:after="0" w:line="240" w:lineRule="auto"/>
        <w:ind w:left="0" w:firstLine="567"/>
        <w:jc w:val="both"/>
        <w:rPr>
          <w:rFonts w:ascii="Times New Roman" w:eastAsia="Calibri" w:hAnsi="Times New Roman" w:cs="Times New Roman"/>
        </w:rPr>
      </w:pPr>
      <w:r w:rsidRPr="00672F2D">
        <w:rPr>
          <w:rFonts w:ascii="Times New Roman" w:eastAsia="Calibri" w:hAnsi="Times New Roman" w:cs="Times New Roman"/>
        </w:rPr>
        <w:t xml:space="preserve">Промяната в целевата стойност на </w:t>
      </w:r>
      <w:r w:rsidR="00997364">
        <w:rPr>
          <w:rFonts w:ascii="Times New Roman" w:eastAsia="Calibri" w:hAnsi="Times New Roman" w:cs="Times New Roman"/>
          <w:b/>
          <w:i/>
        </w:rPr>
        <w:t>индикатор</w:t>
      </w:r>
      <w:r w:rsidRPr="00672F2D">
        <w:rPr>
          <w:rFonts w:ascii="Times New Roman" w:eastAsia="Calibri" w:hAnsi="Times New Roman" w:cs="Times New Roman"/>
          <w:b/>
          <w:i/>
        </w:rPr>
        <w:t xml:space="preserve"> „Поддържане на валидни сертификати, издадени на производители на строителни продукти, от лица за оценяване на строителни продукти“</w:t>
      </w:r>
      <w:r w:rsidRPr="00672F2D">
        <w:rPr>
          <w:rFonts w:ascii="Times New Roman" w:eastAsia="Calibri" w:hAnsi="Times New Roman" w:cs="Times New Roman"/>
        </w:rPr>
        <w:t xml:space="preserve"> се дължи на: Процесът на оценяване на строителни продукти, издаването и поддържането на сертификати от лица за оценяване на строителни продукти, е обхванат от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и на Наредба № РД-02-20-1 от</w:t>
      </w:r>
      <w:r w:rsidRPr="00BF163D">
        <w:rPr>
          <w:rFonts w:ascii="Times New Roman" w:eastAsia="Calibri" w:hAnsi="Times New Roman" w:cs="Times New Roman"/>
        </w:rPr>
        <w:t xml:space="preserve"> 2015 г. за условията и реда за влагане на строителни продукти в строежите на Република България. (Обн. ДВ. бр. 14 от 20.02.2015 г.). Към настоящият момент Регламент (ЕС) № 305/2011 е в процес на преработка и промяна на сертификационните критерии, като се очаква до края на 2021 г. да има нов европейски акт, регламентиращ оценяването на строителните продукти. По предварителна информация, получена от Европейската комисия, сертификационните критерии ще бъдат много променени, което ще доведе до намаляване на броя на издадените сертификати.</w:t>
      </w:r>
    </w:p>
    <w:p w:rsidR="00BF163D" w:rsidRPr="00BF163D" w:rsidRDefault="00BF163D" w:rsidP="00AA3F78">
      <w:pPr>
        <w:pStyle w:val="ListParagraph"/>
        <w:numPr>
          <w:ilvl w:val="0"/>
          <w:numId w:val="1"/>
        </w:numPr>
        <w:spacing w:after="0" w:line="240" w:lineRule="auto"/>
        <w:ind w:left="0" w:firstLine="567"/>
        <w:jc w:val="both"/>
        <w:rPr>
          <w:rFonts w:ascii="Times New Roman" w:eastAsia="Calibri" w:hAnsi="Times New Roman" w:cs="Times New Roman"/>
          <w:i/>
        </w:rPr>
      </w:pPr>
      <w:r w:rsidRPr="00BF163D">
        <w:rPr>
          <w:rFonts w:ascii="Times New Roman" w:eastAsia="Calibri" w:hAnsi="Times New Roman" w:cs="Times New Roman"/>
          <w:b/>
          <w:i/>
        </w:rPr>
        <w:t>Индикаторът „Поддържане на регулаторна база от технически нормативни актове за обследване, проектиране, изграждане и поддържане на строежите,</w:t>
      </w:r>
      <w:r w:rsidRPr="00BF163D">
        <w:rPr>
          <w:rFonts w:ascii="Times New Roman" w:eastAsia="Calibri" w:hAnsi="Times New Roman" w:cs="Times New Roman"/>
        </w:rPr>
        <w:t xml:space="preserve"> осигурява взаимообвързаното прилагане на Закона за устройство на територията (ЗУТ), Закона за енергийната ефективност, Закона за енергетиката, Закона за електроните съобщителни мрежи и физическа инфраструктура, Закона за движението по пътищата, Закона за пътищата и др., както и на актовете по тяхното прилагане, във връзка с изпълнението на основните изисквания към строежите съгласно чл. 169 от ЗУТ и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с оглед проектиране, изпълнение и поддържане на безопасни, енергоефективни и достъпни строежи (сгради и строителни съоръжения), </w:t>
      </w:r>
      <w:r w:rsidRPr="00BF163D">
        <w:rPr>
          <w:rFonts w:ascii="Times New Roman" w:eastAsia="Calibri" w:hAnsi="Times New Roman" w:cs="Times New Roman"/>
          <w:i/>
        </w:rPr>
        <w:t>което налага включването му в бюджетна прогноза 2022-2024 г.</w:t>
      </w:r>
    </w:p>
    <w:p w:rsidR="00637376" w:rsidRPr="00637376" w:rsidRDefault="00637376" w:rsidP="005D27F6">
      <w:pPr>
        <w:tabs>
          <w:tab w:val="left" w:pos="709"/>
        </w:tabs>
        <w:spacing w:after="0" w:line="240" w:lineRule="auto"/>
        <w:ind w:left="567"/>
        <w:jc w:val="both"/>
        <w:rPr>
          <w:rFonts w:ascii="Times New Roman" w:eastAsia="Calibri" w:hAnsi="Times New Roman" w:cs="Times New Roman"/>
          <w:b/>
          <w:i/>
          <w:color w:val="0000CC"/>
        </w:rPr>
      </w:pPr>
      <w:r w:rsidRPr="00637376">
        <w:rPr>
          <w:rFonts w:ascii="Times New Roman" w:eastAsia="Calibri" w:hAnsi="Times New Roman" w:cs="Times New Roman"/>
          <w:b/>
          <w:i/>
          <w:color w:val="0000CC"/>
        </w:rPr>
        <w:t>Кратко описание на посочените индикатори.</w:t>
      </w:r>
    </w:p>
    <w:p w:rsidR="00511F1F" w:rsidRDefault="00997364" w:rsidP="00AA3F78">
      <w:pPr>
        <w:pStyle w:val="ListParagraph"/>
        <w:numPr>
          <w:ilvl w:val="0"/>
          <w:numId w:val="2"/>
        </w:numPr>
        <w:tabs>
          <w:tab w:val="left" w:pos="709"/>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
          <w:i/>
        </w:rPr>
        <w:t>Индикатор</w:t>
      </w:r>
      <w:r w:rsidR="00D6230D" w:rsidRPr="00D6230D">
        <w:rPr>
          <w:rFonts w:ascii="Times New Roman" w:eastAsia="Calibri" w:hAnsi="Times New Roman" w:cs="Times New Roman"/>
          <w:b/>
          <w:i/>
        </w:rPr>
        <w:t xml:space="preserve"> „Подобряване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услугата отвеждане и пречистване на отпадъчните води“</w:t>
      </w:r>
      <w:r w:rsidR="00D6230D">
        <w:rPr>
          <w:rFonts w:ascii="Times New Roman" w:eastAsia="Calibri" w:hAnsi="Times New Roman" w:cs="Times New Roman"/>
          <w:b/>
          <w:i/>
        </w:rPr>
        <w:t xml:space="preserve"> </w:t>
      </w:r>
      <w:r w:rsidR="00D6230D" w:rsidRPr="00D6230D">
        <w:rPr>
          <w:rFonts w:ascii="Times New Roman" w:eastAsia="Calibri" w:hAnsi="Times New Roman" w:cs="Times New Roman"/>
        </w:rPr>
        <w:t>измерва</w:t>
      </w:r>
      <w:r w:rsidR="00D6230D">
        <w:rPr>
          <w:rFonts w:ascii="Times New Roman" w:eastAsia="Calibri" w:hAnsi="Times New Roman" w:cs="Times New Roman"/>
        </w:rPr>
        <w:t xml:space="preserve"> стратегическите цели, свързани с п</w:t>
      </w:r>
      <w:r w:rsidR="00D6230D" w:rsidRPr="00D6230D">
        <w:rPr>
          <w:rFonts w:ascii="Times New Roman" w:eastAsia="Calibri" w:hAnsi="Times New Roman" w:cs="Times New Roman"/>
        </w:rPr>
        <w:t xml:space="preserve">овишаване ефективността при </w:t>
      </w:r>
      <w:r w:rsidR="00D6230D">
        <w:rPr>
          <w:rFonts w:ascii="Times New Roman" w:eastAsia="Calibri" w:hAnsi="Times New Roman" w:cs="Times New Roman"/>
        </w:rPr>
        <w:t>предоставяне на „ВиК“ услугите, р</w:t>
      </w:r>
      <w:r w:rsidR="00D6230D" w:rsidRPr="00D6230D">
        <w:rPr>
          <w:rFonts w:ascii="Times New Roman" w:eastAsia="Calibri" w:hAnsi="Times New Roman" w:cs="Times New Roman"/>
        </w:rPr>
        <w:t>ехабилитация и реконструкция на съществуващите водоснаб</w:t>
      </w:r>
      <w:r w:rsidR="00D6230D">
        <w:rPr>
          <w:rFonts w:ascii="Times New Roman" w:eastAsia="Calibri" w:hAnsi="Times New Roman" w:cs="Times New Roman"/>
        </w:rPr>
        <w:t>дителни системи за питейна вода, както и п</w:t>
      </w:r>
      <w:r w:rsidR="00D6230D" w:rsidRPr="00D6230D">
        <w:rPr>
          <w:rFonts w:ascii="Times New Roman" w:eastAsia="Calibri" w:hAnsi="Times New Roman" w:cs="Times New Roman"/>
        </w:rPr>
        <w:t>одобряване на качеството на питейната вода</w:t>
      </w:r>
      <w:r w:rsidR="00D6230D">
        <w:rPr>
          <w:rFonts w:ascii="Times New Roman" w:eastAsia="Calibri" w:hAnsi="Times New Roman" w:cs="Times New Roman"/>
        </w:rPr>
        <w:t>;</w:t>
      </w:r>
    </w:p>
    <w:p w:rsidR="000F2611" w:rsidRDefault="00997364" w:rsidP="00AA3F78">
      <w:pPr>
        <w:pStyle w:val="ListParagraph"/>
        <w:numPr>
          <w:ilvl w:val="0"/>
          <w:numId w:val="2"/>
        </w:numPr>
        <w:tabs>
          <w:tab w:val="left" w:pos="709"/>
        </w:tabs>
        <w:spacing w:after="0" w:line="240" w:lineRule="auto"/>
        <w:ind w:left="0" w:firstLine="567"/>
        <w:jc w:val="both"/>
        <w:rPr>
          <w:rFonts w:ascii="Times New Roman" w:hAnsi="Times New Roman" w:cs="Times New Roman"/>
          <w:color w:val="000000"/>
        </w:rPr>
      </w:pPr>
      <w:r>
        <w:rPr>
          <w:rFonts w:ascii="Times New Roman" w:eastAsia="Calibri" w:hAnsi="Times New Roman" w:cs="Times New Roman"/>
          <w:b/>
          <w:i/>
        </w:rPr>
        <w:t>Индикатор</w:t>
      </w:r>
      <w:r w:rsidR="00D6230D" w:rsidRPr="00D6230D">
        <w:rPr>
          <w:rFonts w:ascii="Times New Roman" w:eastAsia="Calibri" w:hAnsi="Times New Roman" w:cs="Times New Roman"/>
          <w:b/>
          <w:i/>
        </w:rPr>
        <w:t xml:space="preserve"> „Завършен пътен обект и/или благоустройствен обект“</w:t>
      </w:r>
      <w:r w:rsidR="00D6230D">
        <w:rPr>
          <w:rFonts w:ascii="Times New Roman" w:eastAsia="Calibri" w:hAnsi="Times New Roman" w:cs="Times New Roman"/>
          <w:b/>
          <w:i/>
        </w:rPr>
        <w:t xml:space="preserve"> </w:t>
      </w:r>
      <w:r w:rsidR="00D6230D" w:rsidRPr="00D6230D">
        <w:rPr>
          <w:rFonts w:ascii="Times New Roman" w:eastAsia="Calibri" w:hAnsi="Times New Roman" w:cs="Times New Roman"/>
        </w:rPr>
        <w:t>измерва стратегическа цел</w:t>
      </w:r>
      <w:r w:rsidR="00D6230D" w:rsidRPr="00D6230D">
        <w:rPr>
          <w:rFonts w:ascii="Times New Roman" w:hAnsi="Times New Roman" w:cs="Times New Roman"/>
          <w:color w:val="000000"/>
        </w:rPr>
        <w:t xml:space="preserve"> </w:t>
      </w:r>
      <w:r w:rsidR="00D6230D">
        <w:rPr>
          <w:rFonts w:ascii="Times New Roman" w:hAnsi="Times New Roman" w:cs="Times New Roman"/>
          <w:color w:val="000000"/>
        </w:rPr>
        <w:t>„</w:t>
      </w:r>
      <w:r w:rsidR="000F2611" w:rsidRPr="000F2611">
        <w:rPr>
          <w:rFonts w:ascii="Times New Roman" w:hAnsi="Times New Roman" w:cs="Times New Roman"/>
          <w:color w:val="000000"/>
        </w:rPr>
        <w:t>Качествено транспортно обслужване по общинските пътища</w:t>
      </w:r>
      <w:r w:rsidR="000F2611">
        <w:rPr>
          <w:rFonts w:ascii="Times New Roman" w:hAnsi="Times New Roman" w:cs="Times New Roman"/>
          <w:color w:val="000000"/>
        </w:rPr>
        <w:t>“ и „</w:t>
      </w:r>
      <w:r w:rsidR="000F2611" w:rsidRPr="000F2611">
        <w:rPr>
          <w:rFonts w:ascii="Times New Roman" w:hAnsi="Times New Roman" w:cs="Times New Roman"/>
          <w:color w:val="000000"/>
        </w:rPr>
        <w:t>Подобряване на качеството на жизнената среда</w:t>
      </w:r>
      <w:r w:rsidR="000F2611">
        <w:rPr>
          <w:rFonts w:ascii="Times New Roman" w:hAnsi="Times New Roman" w:cs="Times New Roman"/>
          <w:color w:val="000000"/>
        </w:rPr>
        <w:t>“;</w:t>
      </w:r>
    </w:p>
    <w:p w:rsidR="00511F1F" w:rsidRPr="000F2611" w:rsidRDefault="00997364" w:rsidP="00AA3F78">
      <w:pPr>
        <w:pStyle w:val="ListParagraph"/>
        <w:numPr>
          <w:ilvl w:val="0"/>
          <w:numId w:val="2"/>
        </w:numPr>
        <w:tabs>
          <w:tab w:val="left" w:pos="709"/>
        </w:tabs>
        <w:spacing w:after="0" w:line="240" w:lineRule="auto"/>
        <w:ind w:left="0" w:firstLine="567"/>
        <w:jc w:val="both"/>
        <w:rPr>
          <w:rFonts w:ascii="Times New Roman" w:hAnsi="Times New Roman" w:cs="Times New Roman"/>
          <w:color w:val="000000"/>
        </w:rPr>
      </w:pPr>
      <w:r>
        <w:rPr>
          <w:rFonts w:ascii="Times New Roman" w:eastAsia="Calibri" w:hAnsi="Times New Roman" w:cs="Times New Roman"/>
          <w:b/>
          <w:i/>
        </w:rPr>
        <w:t>Индикатор</w:t>
      </w:r>
      <w:r w:rsidR="00790809" w:rsidRPr="000F2611">
        <w:rPr>
          <w:rFonts w:ascii="Times New Roman" w:eastAsia="Calibri" w:hAnsi="Times New Roman" w:cs="Times New Roman"/>
          <w:b/>
          <w:i/>
        </w:rPr>
        <w:t xml:space="preserve"> „Завършени геозащитни обекти/брегоукрепени участъци</w:t>
      </w:r>
      <w:r w:rsidR="00790809" w:rsidRPr="000F2611">
        <w:rPr>
          <w:rFonts w:ascii="Times New Roman" w:eastAsia="Calibri" w:hAnsi="Times New Roman" w:cs="Times New Roman"/>
          <w:b/>
          <w:i/>
          <w:vertAlign w:val="superscript"/>
        </w:rPr>
        <w:t xml:space="preserve">“ </w:t>
      </w:r>
      <w:r w:rsidR="00790809" w:rsidRPr="000F2611">
        <w:rPr>
          <w:rFonts w:ascii="Times New Roman" w:eastAsia="Calibri" w:hAnsi="Times New Roman" w:cs="Times New Roman"/>
        </w:rPr>
        <w:t>измерва стратегическа цел „Изпълнение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p>
    <w:p w:rsidR="00790809" w:rsidRPr="00743FBC" w:rsidRDefault="00997364" w:rsidP="00AA3F78">
      <w:pPr>
        <w:pStyle w:val="ListParagraph"/>
        <w:numPr>
          <w:ilvl w:val="0"/>
          <w:numId w:val="2"/>
        </w:numPr>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
          <w:i/>
        </w:rPr>
        <w:lastRenderedPageBreak/>
        <w:t>Индикатор</w:t>
      </w:r>
      <w:r w:rsidR="00790809" w:rsidRPr="00743FBC">
        <w:rPr>
          <w:rFonts w:ascii="Times New Roman" w:eastAsia="Calibri" w:hAnsi="Times New Roman" w:cs="Times New Roman"/>
          <w:b/>
          <w:i/>
        </w:rPr>
        <w:t xml:space="preserve"> „Рехабилитирани и новоизградени участъци /в т.ч. аварийни дейности/“ и „Текущ ремонт и поддържане на РПМ“ </w:t>
      </w:r>
      <w:r w:rsidR="00790809" w:rsidRPr="00743FBC">
        <w:rPr>
          <w:rFonts w:ascii="Times New Roman" w:eastAsia="Calibri" w:hAnsi="Times New Roman" w:cs="Times New Roman"/>
        </w:rPr>
        <w:t xml:space="preserve">са свързани с изпълнение на </w:t>
      </w:r>
      <w:r w:rsidR="00A00E23" w:rsidRPr="00743FBC">
        <w:rPr>
          <w:rFonts w:ascii="Times New Roman" w:eastAsia="Calibri" w:hAnsi="Times New Roman" w:cs="Times New Roman"/>
        </w:rPr>
        <w:t>стратегическите цели в областта на изграждането на модерна и безопасна пътна инфраструктура.</w:t>
      </w:r>
    </w:p>
    <w:p w:rsidR="00470FE4" w:rsidRPr="00470FE4" w:rsidRDefault="00997364" w:rsidP="00AA3F78">
      <w:pPr>
        <w:pStyle w:val="ListParagraph"/>
        <w:numPr>
          <w:ilvl w:val="0"/>
          <w:numId w:val="1"/>
        </w:numPr>
        <w:spacing w:after="0" w:line="240" w:lineRule="auto"/>
        <w:ind w:left="0" w:firstLine="567"/>
        <w:jc w:val="both"/>
        <w:rPr>
          <w:rFonts w:ascii="Times New Roman" w:eastAsia="Batang" w:hAnsi="Times New Roman" w:cs="Times New Roman"/>
          <w:b/>
          <w:i/>
          <w:lang w:eastAsia="ko-KR"/>
        </w:rPr>
      </w:pPr>
      <w:r>
        <w:rPr>
          <w:rFonts w:ascii="Times New Roman" w:eastAsia="Batang" w:hAnsi="Times New Roman" w:cs="Times New Roman"/>
          <w:b/>
          <w:i/>
          <w:lang w:eastAsia="ko-KR"/>
        </w:rPr>
        <w:t>Индикатор</w:t>
      </w:r>
      <w:r w:rsidR="00470FE4" w:rsidRPr="007A4A59">
        <w:rPr>
          <w:rFonts w:ascii="Times New Roman" w:eastAsia="Batang" w:hAnsi="Times New Roman" w:cs="Times New Roman"/>
          <w:b/>
          <w:i/>
          <w:lang w:eastAsia="ko-KR"/>
        </w:rPr>
        <w:t xml:space="preserve">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w:t>
      </w:r>
      <w:r w:rsidR="00AA3F78">
        <w:rPr>
          <w:rFonts w:ascii="Times New Roman" w:eastAsia="Batang" w:hAnsi="Times New Roman" w:cs="Times New Roman"/>
          <w:b/>
          <w:i/>
          <w:lang w:eastAsia="ko-KR"/>
        </w:rPr>
        <w:t>роежи от I, II и III категория</w:t>
      </w:r>
      <w:r w:rsidR="00470FE4" w:rsidRPr="007A4A59">
        <w:rPr>
          <w:rFonts w:ascii="Times New Roman" w:eastAsia="Batang" w:hAnsi="Times New Roman" w:cs="Times New Roman"/>
          <w:b/>
          <w:i/>
          <w:lang w:eastAsia="ko-KR"/>
        </w:rPr>
        <w:t>“</w:t>
      </w:r>
      <w:r w:rsidR="00470FE4">
        <w:rPr>
          <w:rFonts w:ascii="Times New Roman" w:eastAsia="Batang" w:hAnsi="Times New Roman" w:cs="Times New Roman"/>
          <w:b/>
          <w:i/>
          <w:lang w:eastAsia="ko-KR"/>
        </w:rPr>
        <w:t xml:space="preserve"> </w:t>
      </w:r>
      <w:r w:rsidR="00470FE4" w:rsidRPr="007A4A59">
        <w:rPr>
          <w:rFonts w:ascii="Times New Roman" w:eastAsia="Batang" w:hAnsi="Times New Roman" w:cs="Times New Roman"/>
          <w:lang w:eastAsia="ko-KR"/>
        </w:rPr>
        <w:t xml:space="preserve">измерва </w:t>
      </w:r>
      <w:r w:rsidR="00470FE4">
        <w:rPr>
          <w:rFonts w:ascii="Times New Roman" w:eastAsia="Batang" w:hAnsi="Times New Roman" w:cs="Times New Roman"/>
          <w:lang w:eastAsia="ko-KR"/>
        </w:rPr>
        <w:t>цел „</w:t>
      </w:r>
      <w:r w:rsidR="00470FE4" w:rsidRPr="001D45BB">
        <w:rPr>
          <w:rFonts w:ascii="Times New Roman" w:eastAsia="Batang" w:hAnsi="Times New Roman" w:cs="Times New Roman"/>
          <w:lang w:eastAsia="ko-KR"/>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w:t>
      </w:r>
      <w:r w:rsidR="00470FE4">
        <w:rPr>
          <w:rFonts w:ascii="Times New Roman" w:eastAsia="Batang" w:hAnsi="Times New Roman" w:cs="Times New Roman"/>
          <w:lang w:eastAsia="ko-KR"/>
        </w:rPr>
        <w:t>ти в областта на строителството“.</w:t>
      </w:r>
    </w:p>
    <w:p w:rsidR="009E2262" w:rsidRPr="009E2262" w:rsidRDefault="009E2262" w:rsidP="00AA3F78">
      <w:pPr>
        <w:pStyle w:val="ListParagraph"/>
        <w:numPr>
          <w:ilvl w:val="0"/>
          <w:numId w:val="1"/>
        </w:numPr>
        <w:spacing w:after="0" w:line="240" w:lineRule="auto"/>
        <w:ind w:left="0" w:firstLine="567"/>
        <w:jc w:val="both"/>
        <w:rPr>
          <w:rFonts w:ascii="Times New Roman" w:eastAsia="Batang" w:hAnsi="Times New Roman" w:cs="Times New Roman"/>
          <w:lang w:val="en-US" w:eastAsia="ko-KR"/>
        </w:rPr>
      </w:pPr>
      <w:r w:rsidRPr="009E2262">
        <w:rPr>
          <w:rFonts w:ascii="Times New Roman" w:eastAsia="Batang" w:hAnsi="Times New Roman" w:cs="Times New Roman"/>
          <w:b/>
          <w:i/>
          <w:lang w:val="en-US" w:eastAsia="ko-KR"/>
        </w:rPr>
        <w:t>Индикатор „Поддържане на валидни сертификати, издадени на производители на строителни продукти, от лица за оценяване на строителни продукти“</w:t>
      </w:r>
      <w:r w:rsidRPr="009E2262">
        <w:rPr>
          <w:rFonts w:ascii="Times New Roman" w:eastAsia="Batang" w:hAnsi="Times New Roman" w:cs="Times New Roman"/>
          <w:lang w:val="en-US" w:eastAsia="ko-KR"/>
        </w:rPr>
        <w:t xml:space="preserve">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r>
        <w:rPr>
          <w:rFonts w:ascii="Times New Roman" w:eastAsia="Batang" w:hAnsi="Times New Roman" w:cs="Times New Roman"/>
          <w:lang w:eastAsia="ko-KR"/>
        </w:rPr>
        <w:t>;</w:t>
      </w:r>
    </w:p>
    <w:p w:rsidR="009E2262" w:rsidRDefault="009E2262" w:rsidP="00AA3F78">
      <w:pPr>
        <w:pStyle w:val="ListParagraph"/>
        <w:numPr>
          <w:ilvl w:val="0"/>
          <w:numId w:val="1"/>
        </w:numPr>
        <w:spacing w:after="0" w:line="240" w:lineRule="auto"/>
        <w:ind w:left="0" w:firstLine="567"/>
        <w:jc w:val="both"/>
        <w:rPr>
          <w:rFonts w:ascii="Times New Roman" w:eastAsia="Batang" w:hAnsi="Times New Roman" w:cs="Times New Roman"/>
          <w:lang w:val="en-US" w:eastAsia="ko-KR"/>
        </w:rPr>
      </w:pPr>
      <w:r w:rsidRPr="009E2262">
        <w:rPr>
          <w:rFonts w:ascii="Times New Roman" w:eastAsia="Batang" w:hAnsi="Times New Roman" w:cs="Times New Roman"/>
          <w:b/>
          <w:i/>
          <w:lang w:val="en-US" w:eastAsia="ko-KR"/>
        </w:rPr>
        <w:t>Индикатор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r w:rsidRPr="009E2262">
        <w:rPr>
          <w:rFonts w:ascii="Times New Roman" w:eastAsia="Batang" w:hAnsi="Times New Roman" w:cs="Times New Roman"/>
          <w:lang w:val="en-US" w:eastAsia="ko-KR"/>
        </w:rPr>
        <w:t xml:space="preserve"> 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6B2804" w:rsidRDefault="009E2262" w:rsidP="00AA3F78">
      <w:pPr>
        <w:pStyle w:val="ListParagraph"/>
        <w:numPr>
          <w:ilvl w:val="0"/>
          <w:numId w:val="1"/>
        </w:numPr>
        <w:spacing w:after="0" w:line="240" w:lineRule="auto"/>
        <w:ind w:left="0" w:firstLine="567"/>
        <w:jc w:val="both"/>
        <w:rPr>
          <w:rFonts w:ascii="Times New Roman" w:eastAsia="Batang" w:hAnsi="Times New Roman" w:cs="Times New Roman"/>
          <w:lang w:val="en-US" w:eastAsia="ko-KR"/>
        </w:rPr>
      </w:pPr>
      <w:r w:rsidRPr="009E2262">
        <w:rPr>
          <w:rFonts w:ascii="Times New Roman" w:eastAsia="Batang" w:hAnsi="Times New Roman" w:cs="Times New Roman"/>
          <w:b/>
          <w:i/>
          <w:lang w:val="en-US" w:eastAsia="ko-KR"/>
        </w:rPr>
        <w:t>Индикатор „Поддържане на регулаторна база от технически нормативни актове за обследване, проектиране, изграждане и поддържане на строежите“</w:t>
      </w:r>
      <w:r w:rsidRPr="009E2262">
        <w:rPr>
          <w:rFonts w:ascii="Times New Roman" w:eastAsia="Batang" w:hAnsi="Times New Roman" w:cs="Times New Roman"/>
          <w:lang w:val="en-US" w:eastAsia="ko-KR"/>
        </w:rPr>
        <w:t xml:space="preserve"> измерва постигането на стратегическа </w:t>
      </w:r>
      <w:bookmarkStart w:id="0" w:name="_GoBack"/>
      <w:bookmarkEnd w:id="0"/>
      <w:r w:rsidRPr="009E2262">
        <w:rPr>
          <w:rFonts w:ascii="Times New Roman" w:eastAsia="Batang" w:hAnsi="Times New Roman" w:cs="Times New Roman"/>
          <w:lang w:val="en-US" w:eastAsia="ko-KR"/>
        </w:rPr>
        <w:t>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sectPr w:rsidR="006B2804" w:rsidSect="00CD19BF">
      <w:headerReference w:type="default" r:id="rId8"/>
      <w:footerReference w:type="default" r:id="rId9"/>
      <w:headerReference w:type="first" r:id="rId10"/>
      <w:pgSz w:w="11906" w:h="16838"/>
      <w:pgMar w:top="1702" w:right="991" w:bottom="851" w:left="1276" w:header="993"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19" w:rsidRDefault="006B6219">
      <w:pPr>
        <w:spacing w:after="0" w:line="240" w:lineRule="auto"/>
      </w:pPr>
      <w:r>
        <w:separator/>
      </w:r>
    </w:p>
  </w:endnote>
  <w:endnote w:type="continuationSeparator" w:id="0">
    <w:p w:rsidR="006B6219" w:rsidRDefault="006B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19162"/>
      <w:docPartObj>
        <w:docPartGallery w:val="Page Numbers (Bottom of Page)"/>
        <w:docPartUnique/>
      </w:docPartObj>
    </w:sdtPr>
    <w:sdtEndPr/>
    <w:sdtContent>
      <w:sdt>
        <w:sdtPr>
          <w:id w:val="256648452"/>
          <w:docPartObj>
            <w:docPartGallery w:val="Page Numbers (Top of Page)"/>
            <w:docPartUnique/>
          </w:docPartObj>
        </w:sdtPr>
        <w:sdtEndPr/>
        <w:sdtContent>
          <w:p w:rsidR="00391AC1" w:rsidRPr="0025354B" w:rsidRDefault="00061E89">
            <w:pPr>
              <w:pStyle w:val="Footer"/>
              <w:jc w:val="right"/>
              <w:rPr>
                <w:b/>
                <w:bCs/>
                <w:lang w:val="en-US"/>
              </w:rPr>
            </w:pPr>
            <w:r>
              <w:t xml:space="preserve">стр. </w:t>
            </w:r>
            <w:r>
              <w:rPr>
                <w:b/>
                <w:bCs/>
              </w:rPr>
              <w:fldChar w:fldCharType="begin"/>
            </w:r>
            <w:r>
              <w:rPr>
                <w:b/>
                <w:bCs/>
              </w:rPr>
              <w:instrText xml:space="preserve"> PAGE </w:instrText>
            </w:r>
            <w:r>
              <w:rPr>
                <w:b/>
                <w:bCs/>
              </w:rPr>
              <w:fldChar w:fldCharType="separate"/>
            </w:r>
            <w:r w:rsidR="00997364">
              <w:rPr>
                <w:b/>
                <w:bCs/>
                <w:noProof/>
              </w:rPr>
              <w:t>12</w:t>
            </w:r>
            <w:r>
              <w:rPr>
                <w:b/>
                <w:bCs/>
              </w:rPr>
              <w:fldChar w:fldCharType="end"/>
            </w:r>
            <w:r>
              <w:t xml:space="preserve"> от </w:t>
            </w:r>
            <w:r w:rsidR="00391AC1">
              <w:rPr>
                <w:b/>
                <w:bCs/>
              </w:rPr>
              <w:t>1</w:t>
            </w:r>
            <w:r w:rsidR="0025354B">
              <w:rPr>
                <w:b/>
                <w:bCs/>
                <w:lang w:val="en-US"/>
              </w:rPr>
              <w:t>3</w:t>
            </w:r>
          </w:p>
          <w:p w:rsidR="00061E89" w:rsidRPr="00734C60" w:rsidRDefault="006B6219">
            <w:pPr>
              <w:pStyle w:val="Footer"/>
              <w:jc w:val="right"/>
              <w:rPr>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19" w:rsidRDefault="006B6219">
      <w:pPr>
        <w:spacing w:after="0" w:line="240" w:lineRule="auto"/>
      </w:pPr>
      <w:r>
        <w:separator/>
      </w:r>
    </w:p>
  </w:footnote>
  <w:footnote w:type="continuationSeparator" w:id="0">
    <w:p w:rsidR="006B6219" w:rsidRDefault="006B6219">
      <w:pPr>
        <w:spacing w:after="0" w:line="240" w:lineRule="auto"/>
      </w:pPr>
      <w:r>
        <w:continuationSeparator/>
      </w:r>
    </w:p>
  </w:footnote>
  <w:footnote w:id="1">
    <w:p w:rsidR="002B07FF" w:rsidRDefault="002B07FF">
      <w:pPr>
        <w:pStyle w:val="FootnoteText"/>
      </w:pPr>
      <w:r>
        <w:rPr>
          <w:rStyle w:val="FootnoteReference"/>
        </w:rPr>
        <w:footnoteRef/>
      </w:r>
      <w:r>
        <w:t xml:space="preserve"> </w:t>
      </w:r>
      <w:r w:rsidRPr="00DA0A1C">
        <w:rPr>
          <w:rFonts w:ascii="Times New Roman" w:eastAsia="Calibri" w:hAnsi="Times New Roman" w:cs="Times New Roman"/>
          <w:color w:val="000000"/>
          <w:sz w:val="16"/>
          <w:szCs w:val="16"/>
          <w:lang w:eastAsia="bg-BG"/>
        </w:rPr>
        <w:t>Целевата стойност на показател „Завършен пътен обект“ е на база издадено Разрешение за ползване или дължина на участък в линейни метри</w:t>
      </w:r>
      <w:r>
        <w:rPr>
          <w:rFonts w:ascii="Times New Roman" w:eastAsia="Calibri" w:hAnsi="Times New Roman" w:cs="Times New Roman"/>
          <w:color w:val="000000"/>
          <w:sz w:val="16"/>
          <w:szCs w:val="16"/>
          <w:lang w:eastAsia="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double" w:sz="4" w:space="0" w:color="auto"/>
        <w:right w:val="none" w:sz="0" w:space="0" w:color="auto"/>
      </w:tblBorders>
      <w:tblLook w:val="04A0" w:firstRow="1" w:lastRow="0" w:firstColumn="1" w:lastColumn="0" w:noHBand="0" w:noVBand="1"/>
    </w:tblPr>
    <w:tblGrid>
      <w:gridCol w:w="9639"/>
    </w:tblGrid>
    <w:tr w:rsidR="00061E89" w:rsidTr="0045306D">
      <w:trPr>
        <w:trHeight w:val="267"/>
      </w:trPr>
      <w:tc>
        <w:tcPr>
          <w:tcW w:w="9736" w:type="dxa"/>
        </w:tcPr>
        <w:p w:rsidR="00061E89" w:rsidRDefault="00061E89" w:rsidP="004841E7">
          <w:pPr>
            <w:pStyle w:val="Header"/>
            <w:jc w:val="center"/>
          </w:pPr>
          <w:r>
            <w:t>Ключови индикатори за изпълнение на политиките и целеви стойности за периода 202</w:t>
          </w:r>
          <w:r w:rsidR="004841E7">
            <w:rPr>
              <w:lang w:val="en-US"/>
            </w:rPr>
            <w:t>2</w:t>
          </w:r>
          <w:r w:rsidR="004841E7">
            <w:t>-2024</w:t>
          </w:r>
          <w:r>
            <w:t xml:space="preserve"> г.</w:t>
          </w:r>
        </w:p>
      </w:tc>
    </w:tr>
  </w:tbl>
  <w:p w:rsidR="00061E89" w:rsidRDefault="00061E89" w:rsidP="001B4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80"/>
    </w:tblGrid>
    <w:tr w:rsidR="00061E89" w:rsidTr="001B4D1D">
      <w:trPr>
        <w:trHeight w:val="1445"/>
      </w:trPr>
      <w:tc>
        <w:tcPr>
          <w:tcW w:w="1728" w:type="dxa"/>
        </w:tcPr>
        <w:p w:rsidR="00061E89" w:rsidRDefault="00061E89" w:rsidP="001B4D1D">
          <w:pPr>
            <w:jc w:val="center"/>
            <w:rPr>
              <w:b/>
              <w:lang w:val="en-US"/>
            </w:rPr>
          </w:pPr>
          <w:r>
            <w:rPr>
              <w:b/>
              <w:noProof/>
            </w:rPr>
            <w:drawing>
              <wp:anchor distT="0" distB="0" distL="114300" distR="114300" simplePos="0" relativeHeight="251660288" behindDoc="0" locked="0" layoutInCell="1" allowOverlap="1" wp14:anchorId="1D64C14F" wp14:editId="3D58A527">
                <wp:simplePos x="0" y="0"/>
                <wp:positionH relativeFrom="column">
                  <wp:posOffset>-1905</wp:posOffset>
                </wp:positionH>
                <wp:positionV relativeFrom="paragraph">
                  <wp:posOffset>-34925</wp:posOffset>
                </wp:positionV>
                <wp:extent cx="1056960" cy="900000"/>
                <wp:effectExtent l="0" t="0" r="0" b="0"/>
                <wp:wrapNone/>
                <wp:docPr id="13" name="Picture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7380" w:type="dxa"/>
          <w:vAlign w:val="center"/>
        </w:tcPr>
        <w:p w:rsidR="00061E89" w:rsidRPr="00821983" w:rsidRDefault="00061E89" w:rsidP="001B4D1D">
          <w:pPr>
            <w:jc w:val="center"/>
            <w:rPr>
              <w:rFonts w:ascii="Times New Roman Bold" w:hAnsi="Times New Roman Bold"/>
              <w:b/>
              <w:lang w:val="en-US"/>
            </w:rPr>
          </w:pPr>
          <w:r w:rsidRPr="00821983">
            <w:rPr>
              <w:rFonts w:ascii="Times New Roman Bold" w:hAnsi="Times New Roman Bold"/>
              <w:b/>
            </w:rPr>
            <w:t>РЕПУБЛИКА БЪЛГАРИЯ</w:t>
          </w:r>
        </w:p>
        <w:p w:rsidR="00061E89" w:rsidRPr="00821983" w:rsidRDefault="00061E89" w:rsidP="001B4D1D">
          <w:pPr>
            <w:jc w:val="center"/>
            <w:rPr>
              <w:rFonts w:ascii="Times New Roman Bold" w:hAnsi="Times New Roman Bold"/>
              <w:b/>
              <w:lang w:val="en-US"/>
            </w:rPr>
          </w:pPr>
          <w:r w:rsidRPr="0037668F">
            <w:rPr>
              <w:rFonts w:ascii="Times New Roman Bold" w:hAnsi="Times New Roman Bold"/>
              <w:b/>
            </w:rPr>
            <w:t>Заместник-министър на регионалното развитие и благоустройството</w:t>
          </w:r>
        </w:p>
      </w:tc>
    </w:tr>
  </w:tbl>
  <w:p w:rsidR="00061E89" w:rsidRDefault="00061E89" w:rsidP="001B4D1D">
    <w:pP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0D8"/>
      </v:shape>
    </w:pict>
  </w:numPicBullet>
  <w:abstractNum w:abstractNumId="0" w15:restartNumberingAfterBreak="0">
    <w:nsid w:val="02A51402"/>
    <w:multiLevelType w:val="hybridMultilevel"/>
    <w:tmpl w:val="6FE8AE32"/>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047953"/>
    <w:multiLevelType w:val="hybridMultilevel"/>
    <w:tmpl w:val="9FAAC7B4"/>
    <w:lvl w:ilvl="0" w:tplc="C94E6B44">
      <w:start w:val="54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E24149"/>
    <w:multiLevelType w:val="hybridMultilevel"/>
    <w:tmpl w:val="A24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035D"/>
    <w:multiLevelType w:val="hybridMultilevel"/>
    <w:tmpl w:val="50DA338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BBE0130"/>
    <w:multiLevelType w:val="hybridMultilevel"/>
    <w:tmpl w:val="9B9C4D0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E01E83"/>
    <w:multiLevelType w:val="hybridMultilevel"/>
    <w:tmpl w:val="8AB0F2B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235647B1"/>
    <w:multiLevelType w:val="hybridMultilevel"/>
    <w:tmpl w:val="3D88E94A"/>
    <w:lvl w:ilvl="0" w:tplc="E5929DCC">
      <w:numFmt w:val="bullet"/>
      <w:lvlText w:val="-"/>
      <w:lvlJc w:val="left"/>
      <w:pPr>
        <w:ind w:left="1287" w:hanging="360"/>
      </w:pPr>
      <w:rPr>
        <w:rFonts w:ascii="Times New Roman" w:eastAsiaTheme="minorHAns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258E5F67"/>
    <w:multiLevelType w:val="hybridMultilevel"/>
    <w:tmpl w:val="5246BC6E"/>
    <w:lvl w:ilvl="0" w:tplc="46046DF4">
      <w:start w:val="1"/>
      <w:numFmt w:val="decimal"/>
      <w:lvlText w:val="%1."/>
      <w:lvlJc w:val="left"/>
      <w:pPr>
        <w:ind w:left="928" w:hanging="360"/>
      </w:pPr>
      <w:rPr>
        <w:rFonts w:eastAsiaTheme="minorHAnsi" w:hint="default"/>
        <w:b w:val="0"/>
        <w:sz w:val="16"/>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15:restartNumberingAfterBreak="0">
    <w:nsid w:val="26A42B4A"/>
    <w:multiLevelType w:val="hybridMultilevel"/>
    <w:tmpl w:val="5F2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55D10"/>
    <w:multiLevelType w:val="hybridMultilevel"/>
    <w:tmpl w:val="2DDCD77C"/>
    <w:lvl w:ilvl="0" w:tplc="D5FA83BC">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CF31E92"/>
    <w:multiLevelType w:val="hybridMultilevel"/>
    <w:tmpl w:val="3424C2BA"/>
    <w:lvl w:ilvl="0" w:tplc="0EC63542">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32954513"/>
    <w:multiLevelType w:val="hybridMultilevel"/>
    <w:tmpl w:val="C7661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AA324D"/>
    <w:multiLevelType w:val="hybridMultilevel"/>
    <w:tmpl w:val="C32E3E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4FB30E0"/>
    <w:multiLevelType w:val="hybridMultilevel"/>
    <w:tmpl w:val="FC0858E2"/>
    <w:lvl w:ilvl="0" w:tplc="E37EF0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37655706"/>
    <w:multiLevelType w:val="hybridMultilevel"/>
    <w:tmpl w:val="C41AA56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38252314"/>
    <w:multiLevelType w:val="hybridMultilevel"/>
    <w:tmpl w:val="82D22E8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383B6240"/>
    <w:multiLevelType w:val="hybridMultilevel"/>
    <w:tmpl w:val="167878A4"/>
    <w:lvl w:ilvl="0" w:tplc="04020003">
      <w:start w:val="1"/>
      <w:numFmt w:val="bullet"/>
      <w:lvlText w:val="o"/>
      <w:lvlJc w:val="left"/>
      <w:pPr>
        <w:ind w:left="1222" w:hanging="360"/>
      </w:pPr>
      <w:rPr>
        <w:rFonts w:ascii="Courier New" w:hAnsi="Courier New" w:cs="Courier New"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18"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15:restartNumberingAfterBreak="0">
    <w:nsid w:val="45046A40"/>
    <w:multiLevelType w:val="hybridMultilevel"/>
    <w:tmpl w:val="08B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620C5"/>
    <w:multiLevelType w:val="hybridMultilevel"/>
    <w:tmpl w:val="C35671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47EC777E"/>
    <w:multiLevelType w:val="hybridMultilevel"/>
    <w:tmpl w:val="D67A868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2"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4E6B3464"/>
    <w:multiLevelType w:val="hybridMultilevel"/>
    <w:tmpl w:val="3408762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15862DF"/>
    <w:multiLevelType w:val="hybridMultilevel"/>
    <w:tmpl w:val="D1D8C1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3F066F3"/>
    <w:multiLevelType w:val="hybridMultilevel"/>
    <w:tmpl w:val="4B5C9660"/>
    <w:lvl w:ilvl="0" w:tplc="04020001">
      <w:start w:val="1"/>
      <w:numFmt w:val="bullet"/>
      <w:lvlText w:val=""/>
      <w:lvlJc w:val="left"/>
      <w:pPr>
        <w:ind w:left="360" w:hanging="360"/>
      </w:pPr>
      <w:rPr>
        <w:rFonts w:ascii="Symbol" w:hAnsi="Symbol"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8" w15:restartNumberingAfterBreak="0">
    <w:nsid w:val="54D11C98"/>
    <w:multiLevelType w:val="hybridMultilevel"/>
    <w:tmpl w:val="2E74A1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AB47DE1"/>
    <w:multiLevelType w:val="hybridMultilevel"/>
    <w:tmpl w:val="44FA7D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F8116B0"/>
    <w:multiLevelType w:val="hybridMultilevel"/>
    <w:tmpl w:val="654ECC86"/>
    <w:lvl w:ilvl="0" w:tplc="04020001">
      <w:start w:val="1"/>
      <w:numFmt w:val="bullet"/>
      <w:lvlText w:val=""/>
      <w:lvlJc w:val="left"/>
      <w:pPr>
        <w:ind w:left="360" w:hanging="360"/>
      </w:pPr>
      <w:rPr>
        <w:rFonts w:ascii="Symbol" w:hAnsi="Symbol"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1" w15:restartNumberingAfterBreak="0">
    <w:nsid w:val="631B56BB"/>
    <w:multiLevelType w:val="hybridMultilevel"/>
    <w:tmpl w:val="0854B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B079A"/>
    <w:multiLevelType w:val="hybridMultilevel"/>
    <w:tmpl w:val="C84CA704"/>
    <w:lvl w:ilvl="0" w:tplc="04020001">
      <w:start w:val="1"/>
      <w:numFmt w:val="bullet"/>
      <w:lvlText w:val=""/>
      <w:lvlJc w:val="left"/>
      <w:pPr>
        <w:ind w:left="502"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F475052"/>
    <w:multiLevelType w:val="hybridMultilevel"/>
    <w:tmpl w:val="232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D5B30"/>
    <w:multiLevelType w:val="hybridMultilevel"/>
    <w:tmpl w:val="10B8A000"/>
    <w:lvl w:ilvl="0" w:tplc="04020007">
      <w:start w:val="1"/>
      <w:numFmt w:val="bullet"/>
      <w:lvlText w:val=""/>
      <w:lvlPicBulletId w:val="0"/>
      <w:lvlJc w:val="left"/>
      <w:pPr>
        <w:ind w:left="1372" w:hanging="360"/>
      </w:pPr>
      <w:rPr>
        <w:rFonts w:ascii="Symbol" w:hAnsi="Symbol" w:hint="default"/>
      </w:rPr>
    </w:lvl>
    <w:lvl w:ilvl="1" w:tplc="04020003" w:tentative="1">
      <w:start w:val="1"/>
      <w:numFmt w:val="bullet"/>
      <w:lvlText w:val="o"/>
      <w:lvlJc w:val="left"/>
      <w:pPr>
        <w:ind w:left="2092" w:hanging="360"/>
      </w:pPr>
      <w:rPr>
        <w:rFonts w:ascii="Courier New" w:hAnsi="Courier New" w:cs="Courier New" w:hint="default"/>
      </w:rPr>
    </w:lvl>
    <w:lvl w:ilvl="2" w:tplc="04020005" w:tentative="1">
      <w:start w:val="1"/>
      <w:numFmt w:val="bullet"/>
      <w:lvlText w:val=""/>
      <w:lvlJc w:val="left"/>
      <w:pPr>
        <w:ind w:left="2812" w:hanging="360"/>
      </w:pPr>
      <w:rPr>
        <w:rFonts w:ascii="Wingdings" w:hAnsi="Wingdings" w:hint="default"/>
      </w:rPr>
    </w:lvl>
    <w:lvl w:ilvl="3" w:tplc="04020001" w:tentative="1">
      <w:start w:val="1"/>
      <w:numFmt w:val="bullet"/>
      <w:lvlText w:val=""/>
      <w:lvlJc w:val="left"/>
      <w:pPr>
        <w:ind w:left="3532" w:hanging="360"/>
      </w:pPr>
      <w:rPr>
        <w:rFonts w:ascii="Symbol" w:hAnsi="Symbol" w:hint="default"/>
      </w:rPr>
    </w:lvl>
    <w:lvl w:ilvl="4" w:tplc="04020003" w:tentative="1">
      <w:start w:val="1"/>
      <w:numFmt w:val="bullet"/>
      <w:lvlText w:val="o"/>
      <w:lvlJc w:val="left"/>
      <w:pPr>
        <w:ind w:left="4252" w:hanging="360"/>
      </w:pPr>
      <w:rPr>
        <w:rFonts w:ascii="Courier New" w:hAnsi="Courier New" w:cs="Courier New" w:hint="default"/>
      </w:rPr>
    </w:lvl>
    <w:lvl w:ilvl="5" w:tplc="04020005" w:tentative="1">
      <w:start w:val="1"/>
      <w:numFmt w:val="bullet"/>
      <w:lvlText w:val=""/>
      <w:lvlJc w:val="left"/>
      <w:pPr>
        <w:ind w:left="4972" w:hanging="360"/>
      </w:pPr>
      <w:rPr>
        <w:rFonts w:ascii="Wingdings" w:hAnsi="Wingdings" w:hint="default"/>
      </w:rPr>
    </w:lvl>
    <w:lvl w:ilvl="6" w:tplc="04020001" w:tentative="1">
      <w:start w:val="1"/>
      <w:numFmt w:val="bullet"/>
      <w:lvlText w:val=""/>
      <w:lvlJc w:val="left"/>
      <w:pPr>
        <w:ind w:left="5692" w:hanging="360"/>
      </w:pPr>
      <w:rPr>
        <w:rFonts w:ascii="Symbol" w:hAnsi="Symbol" w:hint="default"/>
      </w:rPr>
    </w:lvl>
    <w:lvl w:ilvl="7" w:tplc="04020003" w:tentative="1">
      <w:start w:val="1"/>
      <w:numFmt w:val="bullet"/>
      <w:lvlText w:val="o"/>
      <w:lvlJc w:val="left"/>
      <w:pPr>
        <w:ind w:left="6412" w:hanging="360"/>
      </w:pPr>
      <w:rPr>
        <w:rFonts w:ascii="Courier New" w:hAnsi="Courier New" w:cs="Courier New" w:hint="default"/>
      </w:rPr>
    </w:lvl>
    <w:lvl w:ilvl="8" w:tplc="04020005" w:tentative="1">
      <w:start w:val="1"/>
      <w:numFmt w:val="bullet"/>
      <w:lvlText w:val=""/>
      <w:lvlJc w:val="left"/>
      <w:pPr>
        <w:ind w:left="7132" w:hanging="360"/>
      </w:pPr>
      <w:rPr>
        <w:rFonts w:ascii="Wingdings" w:hAnsi="Wingdings" w:hint="default"/>
      </w:rPr>
    </w:lvl>
  </w:abstractNum>
  <w:abstractNum w:abstractNumId="36" w15:restartNumberingAfterBreak="0">
    <w:nsid w:val="79ED59EF"/>
    <w:multiLevelType w:val="hybridMultilevel"/>
    <w:tmpl w:val="8F9E3ABC"/>
    <w:lvl w:ilvl="0" w:tplc="0402000F">
      <w:start w:val="5"/>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B176BA7"/>
    <w:multiLevelType w:val="hybridMultilevel"/>
    <w:tmpl w:val="7122818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8" w15:restartNumberingAfterBreak="0">
    <w:nsid w:val="7B1F1F6F"/>
    <w:multiLevelType w:val="hybridMultilevel"/>
    <w:tmpl w:val="BDFAC72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num w:numId="1">
    <w:abstractNumId w:val="32"/>
  </w:num>
  <w:num w:numId="2">
    <w:abstractNumId w:val="15"/>
  </w:num>
  <w:num w:numId="3">
    <w:abstractNumId w:val="11"/>
  </w:num>
  <w:num w:numId="4">
    <w:abstractNumId w:val="17"/>
  </w:num>
  <w:num w:numId="5">
    <w:abstractNumId w:val="25"/>
  </w:num>
  <w:num w:numId="6">
    <w:abstractNumId w:val="33"/>
  </w:num>
  <w:num w:numId="7">
    <w:abstractNumId w:val="4"/>
  </w:num>
  <w:num w:numId="8">
    <w:abstractNumId w:val="12"/>
  </w:num>
  <w:num w:numId="9">
    <w:abstractNumId w:val="0"/>
  </w:num>
  <w:num w:numId="10">
    <w:abstractNumId w:val="22"/>
  </w:num>
  <w:num w:numId="11">
    <w:abstractNumId w:val="35"/>
  </w:num>
  <w:num w:numId="12">
    <w:abstractNumId w:val="24"/>
  </w:num>
  <w:num w:numId="13">
    <w:abstractNumId w:val="34"/>
  </w:num>
  <w:num w:numId="14">
    <w:abstractNumId w:val="30"/>
  </w:num>
  <w:num w:numId="15">
    <w:abstractNumId w:val="27"/>
  </w:num>
  <w:num w:numId="16">
    <w:abstractNumId w:val="13"/>
  </w:num>
  <w:num w:numId="17">
    <w:abstractNumId w:val="26"/>
  </w:num>
  <w:num w:numId="18">
    <w:abstractNumId w:val="36"/>
  </w:num>
  <w:num w:numId="19">
    <w:abstractNumId w:val="8"/>
  </w:num>
  <w:num w:numId="20">
    <w:abstractNumId w:val="28"/>
  </w:num>
  <w:num w:numId="21">
    <w:abstractNumId w:val="5"/>
  </w:num>
  <w:num w:numId="22">
    <w:abstractNumId w:val="1"/>
  </w:num>
  <w:num w:numId="23">
    <w:abstractNumId w:val="18"/>
  </w:num>
  <w:num w:numId="24">
    <w:abstractNumId w:val="37"/>
  </w:num>
  <w:num w:numId="25">
    <w:abstractNumId w:val="3"/>
  </w:num>
  <w:num w:numId="26">
    <w:abstractNumId w:val="10"/>
  </w:num>
  <w:num w:numId="27">
    <w:abstractNumId w:val="19"/>
  </w:num>
  <w:num w:numId="28">
    <w:abstractNumId w:val="29"/>
  </w:num>
  <w:num w:numId="29">
    <w:abstractNumId w:val="38"/>
  </w:num>
  <w:num w:numId="30">
    <w:abstractNumId w:val="9"/>
  </w:num>
  <w:num w:numId="31">
    <w:abstractNumId w:val="6"/>
  </w:num>
  <w:num w:numId="32">
    <w:abstractNumId w:val="2"/>
  </w:num>
  <w:num w:numId="33">
    <w:abstractNumId w:val="31"/>
  </w:num>
  <w:num w:numId="34">
    <w:abstractNumId w:val="21"/>
  </w:num>
  <w:num w:numId="35">
    <w:abstractNumId w:val="16"/>
  </w:num>
  <w:num w:numId="36">
    <w:abstractNumId w:val="20"/>
  </w:num>
  <w:num w:numId="37">
    <w:abstractNumId w:val="23"/>
  </w:num>
  <w:num w:numId="38">
    <w:abstractNumId w:val="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82"/>
    <w:rsid w:val="0000017C"/>
    <w:rsid w:val="0000105A"/>
    <w:rsid w:val="000021D3"/>
    <w:rsid w:val="0000405E"/>
    <w:rsid w:val="00012776"/>
    <w:rsid w:val="000139AD"/>
    <w:rsid w:val="000176A4"/>
    <w:rsid w:val="00023BA0"/>
    <w:rsid w:val="000240E0"/>
    <w:rsid w:val="0003035E"/>
    <w:rsid w:val="000304E0"/>
    <w:rsid w:val="00032557"/>
    <w:rsid w:val="000362D3"/>
    <w:rsid w:val="000365B1"/>
    <w:rsid w:val="0004286F"/>
    <w:rsid w:val="00043B54"/>
    <w:rsid w:val="00043F73"/>
    <w:rsid w:val="000452D1"/>
    <w:rsid w:val="00047768"/>
    <w:rsid w:val="000519CF"/>
    <w:rsid w:val="00052F47"/>
    <w:rsid w:val="00054103"/>
    <w:rsid w:val="00054216"/>
    <w:rsid w:val="00054F7D"/>
    <w:rsid w:val="00055D08"/>
    <w:rsid w:val="00056D5B"/>
    <w:rsid w:val="000601FC"/>
    <w:rsid w:val="00061E89"/>
    <w:rsid w:val="0006563D"/>
    <w:rsid w:val="00066BFF"/>
    <w:rsid w:val="000708BA"/>
    <w:rsid w:val="00072343"/>
    <w:rsid w:val="00073B6F"/>
    <w:rsid w:val="00084057"/>
    <w:rsid w:val="0008441F"/>
    <w:rsid w:val="00085F97"/>
    <w:rsid w:val="00087238"/>
    <w:rsid w:val="00091C5B"/>
    <w:rsid w:val="00091D05"/>
    <w:rsid w:val="000965B9"/>
    <w:rsid w:val="000970F2"/>
    <w:rsid w:val="000A65BC"/>
    <w:rsid w:val="000A695A"/>
    <w:rsid w:val="000A6ABF"/>
    <w:rsid w:val="000A781F"/>
    <w:rsid w:val="000A7B90"/>
    <w:rsid w:val="000B033B"/>
    <w:rsid w:val="000B04B4"/>
    <w:rsid w:val="000B216F"/>
    <w:rsid w:val="000B3639"/>
    <w:rsid w:val="000B4309"/>
    <w:rsid w:val="000B5B74"/>
    <w:rsid w:val="000B7C5A"/>
    <w:rsid w:val="000C0DD9"/>
    <w:rsid w:val="000C5353"/>
    <w:rsid w:val="000D33E0"/>
    <w:rsid w:val="000E01DC"/>
    <w:rsid w:val="000F2611"/>
    <w:rsid w:val="000F5744"/>
    <w:rsid w:val="00101306"/>
    <w:rsid w:val="0010146B"/>
    <w:rsid w:val="0010180A"/>
    <w:rsid w:val="0010661C"/>
    <w:rsid w:val="001100CA"/>
    <w:rsid w:val="00110D76"/>
    <w:rsid w:val="001126A5"/>
    <w:rsid w:val="0011393C"/>
    <w:rsid w:val="00116F65"/>
    <w:rsid w:val="001210D8"/>
    <w:rsid w:val="001221E4"/>
    <w:rsid w:val="00122B72"/>
    <w:rsid w:val="00123287"/>
    <w:rsid w:val="0013081C"/>
    <w:rsid w:val="00135D80"/>
    <w:rsid w:val="0014286A"/>
    <w:rsid w:val="00142E9A"/>
    <w:rsid w:val="001449AF"/>
    <w:rsid w:val="00150942"/>
    <w:rsid w:val="00151263"/>
    <w:rsid w:val="00151619"/>
    <w:rsid w:val="001548DD"/>
    <w:rsid w:val="00154F8C"/>
    <w:rsid w:val="0016112B"/>
    <w:rsid w:val="001614C7"/>
    <w:rsid w:val="00164DB5"/>
    <w:rsid w:val="00165269"/>
    <w:rsid w:val="00167260"/>
    <w:rsid w:val="00172A4F"/>
    <w:rsid w:val="00173F9F"/>
    <w:rsid w:val="0017720D"/>
    <w:rsid w:val="001838B5"/>
    <w:rsid w:val="00183BAD"/>
    <w:rsid w:val="00185239"/>
    <w:rsid w:val="001864D5"/>
    <w:rsid w:val="001932A7"/>
    <w:rsid w:val="00194D6F"/>
    <w:rsid w:val="001A0C3A"/>
    <w:rsid w:val="001A1D9E"/>
    <w:rsid w:val="001A53D6"/>
    <w:rsid w:val="001A6EE1"/>
    <w:rsid w:val="001A7F8A"/>
    <w:rsid w:val="001B2124"/>
    <w:rsid w:val="001B36ED"/>
    <w:rsid w:val="001B3A55"/>
    <w:rsid w:val="001B4D1D"/>
    <w:rsid w:val="001B7376"/>
    <w:rsid w:val="001C0574"/>
    <w:rsid w:val="001C17B0"/>
    <w:rsid w:val="001C2298"/>
    <w:rsid w:val="001C4217"/>
    <w:rsid w:val="001C537A"/>
    <w:rsid w:val="001C546C"/>
    <w:rsid w:val="001C5543"/>
    <w:rsid w:val="001D092F"/>
    <w:rsid w:val="001D45BB"/>
    <w:rsid w:val="001E287C"/>
    <w:rsid w:val="001F3F83"/>
    <w:rsid w:val="001F782D"/>
    <w:rsid w:val="002036B3"/>
    <w:rsid w:val="002073C0"/>
    <w:rsid w:val="00211B4A"/>
    <w:rsid w:val="00213E0F"/>
    <w:rsid w:val="00215460"/>
    <w:rsid w:val="00217637"/>
    <w:rsid w:val="00220673"/>
    <w:rsid w:val="002228B7"/>
    <w:rsid w:val="002230E4"/>
    <w:rsid w:val="00223EEC"/>
    <w:rsid w:val="00226A5E"/>
    <w:rsid w:val="0022795D"/>
    <w:rsid w:val="00230093"/>
    <w:rsid w:val="002321F7"/>
    <w:rsid w:val="00234D1E"/>
    <w:rsid w:val="00235BF0"/>
    <w:rsid w:val="00235FA0"/>
    <w:rsid w:val="002362A8"/>
    <w:rsid w:val="0023634C"/>
    <w:rsid w:val="00237363"/>
    <w:rsid w:val="00237470"/>
    <w:rsid w:val="00240246"/>
    <w:rsid w:val="00243286"/>
    <w:rsid w:val="00243D64"/>
    <w:rsid w:val="002454E4"/>
    <w:rsid w:val="00247832"/>
    <w:rsid w:val="0025034F"/>
    <w:rsid w:val="00251209"/>
    <w:rsid w:val="00253134"/>
    <w:rsid w:val="002532ED"/>
    <w:rsid w:val="0025354B"/>
    <w:rsid w:val="00253F51"/>
    <w:rsid w:val="00256452"/>
    <w:rsid w:val="0025647B"/>
    <w:rsid w:val="00262E08"/>
    <w:rsid w:val="00267482"/>
    <w:rsid w:val="00271F21"/>
    <w:rsid w:val="00275C83"/>
    <w:rsid w:val="0027711B"/>
    <w:rsid w:val="00281129"/>
    <w:rsid w:val="002814EC"/>
    <w:rsid w:val="0028702A"/>
    <w:rsid w:val="00291B20"/>
    <w:rsid w:val="0029525B"/>
    <w:rsid w:val="002A1E8D"/>
    <w:rsid w:val="002A300F"/>
    <w:rsid w:val="002A4914"/>
    <w:rsid w:val="002A57F3"/>
    <w:rsid w:val="002A5BB3"/>
    <w:rsid w:val="002A65BD"/>
    <w:rsid w:val="002A6BCC"/>
    <w:rsid w:val="002A6D1B"/>
    <w:rsid w:val="002B07FF"/>
    <w:rsid w:val="002B28D2"/>
    <w:rsid w:val="002B375C"/>
    <w:rsid w:val="002B649D"/>
    <w:rsid w:val="002B666B"/>
    <w:rsid w:val="002B6754"/>
    <w:rsid w:val="002C083C"/>
    <w:rsid w:val="002C090F"/>
    <w:rsid w:val="002C26B9"/>
    <w:rsid w:val="002C3993"/>
    <w:rsid w:val="002C42D6"/>
    <w:rsid w:val="002C50EB"/>
    <w:rsid w:val="002C6B77"/>
    <w:rsid w:val="002E3173"/>
    <w:rsid w:val="002E5CE5"/>
    <w:rsid w:val="002E6C0D"/>
    <w:rsid w:val="002E7484"/>
    <w:rsid w:val="002F026B"/>
    <w:rsid w:val="002F1A3A"/>
    <w:rsid w:val="002F2674"/>
    <w:rsid w:val="002F4DFE"/>
    <w:rsid w:val="002F5A10"/>
    <w:rsid w:val="00304095"/>
    <w:rsid w:val="0031263A"/>
    <w:rsid w:val="00322C98"/>
    <w:rsid w:val="003235E4"/>
    <w:rsid w:val="0032516B"/>
    <w:rsid w:val="00327028"/>
    <w:rsid w:val="003278D1"/>
    <w:rsid w:val="00333BE4"/>
    <w:rsid w:val="003359A7"/>
    <w:rsid w:val="00337F71"/>
    <w:rsid w:val="003434B8"/>
    <w:rsid w:val="003470CE"/>
    <w:rsid w:val="003540DC"/>
    <w:rsid w:val="003578A7"/>
    <w:rsid w:val="0036749C"/>
    <w:rsid w:val="00367E8E"/>
    <w:rsid w:val="00374217"/>
    <w:rsid w:val="00374E8A"/>
    <w:rsid w:val="003750B4"/>
    <w:rsid w:val="00375A42"/>
    <w:rsid w:val="00376271"/>
    <w:rsid w:val="00380C1C"/>
    <w:rsid w:val="00385262"/>
    <w:rsid w:val="003854B3"/>
    <w:rsid w:val="00391AC1"/>
    <w:rsid w:val="00392413"/>
    <w:rsid w:val="0039346F"/>
    <w:rsid w:val="00396D66"/>
    <w:rsid w:val="003A003C"/>
    <w:rsid w:val="003A06BE"/>
    <w:rsid w:val="003A3307"/>
    <w:rsid w:val="003A566D"/>
    <w:rsid w:val="003A616C"/>
    <w:rsid w:val="003A6F6B"/>
    <w:rsid w:val="003B614C"/>
    <w:rsid w:val="003B672A"/>
    <w:rsid w:val="003B6738"/>
    <w:rsid w:val="003C19B5"/>
    <w:rsid w:val="003C1CBE"/>
    <w:rsid w:val="003C3424"/>
    <w:rsid w:val="003C4E74"/>
    <w:rsid w:val="003C67A2"/>
    <w:rsid w:val="003E017E"/>
    <w:rsid w:val="003E5244"/>
    <w:rsid w:val="003E799B"/>
    <w:rsid w:val="003F0C75"/>
    <w:rsid w:val="003F0F7E"/>
    <w:rsid w:val="003F65D5"/>
    <w:rsid w:val="00401ED3"/>
    <w:rsid w:val="004020A7"/>
    <w:rsid w:val="00410488"/>
    <w:rsid w:val="00410F7A"/>
    <w:rsid w:val="00412925"/>
    <w:rsid w:val="00417326"/>
    <w:rsid w:val="004175FB"/>
    <w:rsid w:val="00422C07"/>
    <w:rsid w:val="00426BE5"/>
    <w:rsid w:val="00431CFE"/>
    <w:rsid w:val="00432A72"/>
    <w:rsid w:val="00433582"/>
    <w:rsid w:val="0043696F"/>
    <w:rsid w:val="0043795A"/>
    <w:rsid w:val="00442AB6"/>
    <w:rsid w:val="00452463"/>
    <w:rsid w:val="0045306D"/>
    <w:rsid w:val="004666F0"/>
    <w:rsid w:val="0046674C"/>
    <w:rsid w:val="00470840"/>
    <w:rsid w:val="00470CFB"/>
    <w:rsid w:val="00470FE4"/>
    <w:rsid w:val="004718D8"/>
    <w:rsid w:val="0047537F"/>
    <w:rsid w:val="0048416C"/>
    <w:rsid w:val="004841E7"/>
    <w:rsid w:val="0048569E"/>
    <w:rsid w:val="00486511"/>
    <w:rsid w:val="00496E9C"/>
    <w:rsid w:val="004A39BD"/>
    <w:rsid w:val="004A3B66"/>
    <w:rsid w:val="004B03F3"/>
    <w:rsid w:val="004B1A61"/>
    <w:rsid w:val="004B6D3B"/>
    <w:rsid w:val="004C0A49"/>
    <w:rsid w:val="004C28A7"/>
    <w:rsid w:val="004C3F48"/>
    <w:rsid w:val="004C79EF"/>
    <w:rsid w:val="004D0B54"/>
    <w:rsid w:val="004D1DE4"/>
    <w:rsid w:val="004D4CC6"/>
    <w:rsid w:val="004D60F5"/>
    <w:rsid w:val="004D612E"/>
    <w:rsid w:val="004E09C0"/>
    <w:rsid w:val="004F0F49"/>
    <w:rsid w:val="004F1527"/>
    <w:rsid w:val="004F1803"/>
    <w:rsid w:val="0050131E"/>
    <w:rsid w:val="0050218A"/>
    <w:rsid w:val="00507E5A"/>
    <w:rsid w:val="0051074C"/>
    <w:rsid w:val="00511568"/>
    <w:rsid w:val="00511F1F"/>
    <w:rsid w:val="005131C5"/>
    <w:rsid w:val="005152CF"/>
    <w:rsid w:val="00515562"/>
    <w:rsid w:val="00515804"/>
    <w:rsid w:val="00516131"/>
    <w:rsid w:val="0051757E"/>
    <w:rsid w:val="00520BAA"/>
    <w:rsid w:val="00520CF7"/>
    <w:rsid w:val="00534522"/>
    <w:rsid w:val="005348E4"/>
    <w:rsid w:val="005356BF"/>
    <w:rsid w:val="00540593"/>
    <w:rsid w:val="00541088"/>
    <w:rsid w:val="00541340"/>
    <w:rsid w:val="00541A69"/>
    <w:rsid w:val="00544842"/>
    <w:rsid w:val="00556985"/>
    <w:rsid w:val="00561373"/>
    <w:rsid w:val="0056189E"/>
    <w:rsid w:val="00563903"/>
    <w:rsid w:val="005678F7"/>
    <w:rsid w:val="00567CD4"/>
    <w:rsid w:val="0057148D"/>
    <w:rsid w:val="0057153C"/>
    <w:rsid w:val="00574848"/>
    <w:rsid w:val="00575891"/>
    <w:rsid w:val="00580B6F"/>
    <w:rsid w:val="00582B01"/>
    <w:rsid w:val="0058533E"/>
    <w:rsid w:val="00591440"/>
    <w:rsid w:val="005940F7"/>
    <w:rsid w:val="005A568E"/>
    <w:rsid w:val="005A7148"/>
    <w:rsid w:val="005A7420"/>
    <w:rsid w:val="005B17BE"/>
    <w:rsid w:val="005B4591"/>
    <w:rsid w:val="005B78CE"/>
    <w:rsid w:val="005C0D8E"/>
    <w:rsid w:val="005C4D2D"/>
    <w:rsid w:val="005C6563"/>
    <w:rsid w:val="005D27F6"/>
    <w:rsid w:val="005E0977"/>
    <w:rsid w:val="005E266D"/>
    <w:rsid w:val="005E672A"/>
    <w:rsid w:val="005E678E"/>
    <w:rsid w:val="005F256E"/>
    <w:rsid w:val="005F4489"/>
    <w:rsid w:val="005F5519"/>
    <w:rsid w:val="005F71C8"/>
    <w:rsid w:val="006019B3"/>
    <w:rsid w:val="006057D4"/>
    <w:rsid w:val="00606922"/>
    <w:rsid w:val="00621647"/>
    <w:rsid w:val="0062268B"/>
    <w:rsid w:val="006275FE"/>
    <w:rsid w:val="006300BD"/>
    <w:rsid w:val="00630F38"/>
    <w:rsid w:val="006320BD"/>
    <w:rsid w:val="00633C75"/>
    <w:rsid w:val="00636F1F"/>
    <w:rsid w:val="00637376"/>
    <w:rsid w:val="006400BF"/>
    <w:rsid w:val="0064198F"/>
    <w:rsid w:val="00642CF6"/>
    <w:rsid w:val="00643080"/>
    <w:rsid w:val="006461DC"/>
    <w:rsid w:val="00655B96"/>
    <w:rsid w:val="00655DC9"/>
    <w:rsid w:val="0066133F"/>
    <w:rsid w:val="00662509"/>
    <w:rsid w:val="0066565F"/>
    <w:rsid w:val="00665F8D"/>
    <w:rsid w:val="00666FFA"/>
    <w:rsid w:val="0067250C"/>
    <w:rsid w:val="00672F2D"/>
    <w:rsid w:val="006749B3"/>
    <w:rsid w:val="006757D0"/>
    <w:rsid w:val="00676E01"/>
    <w:rsid w:val="0068270F"/>
    <w:rsid w:val="00686C81"/>
    <w:rsid w:val="006872DB"/>
    <w:rsid w:val="006911D7"/>
    <w:rsid w:val="00691BA7"/>
    <w:rsid w:val="00691D8E"/>
    <w:rsid w:val="0069688F"/>
    <w:rsid w:val="00696C54"/>
    <w:rsid w:val="00697AB7"/>
    <w:rsid w:val="006A0201"/>
    <w:rsid w:val="006A4CE0"/>
    <w:rsid w:val="006A55FF"/>
    <w:rsid w:val="006A68BE"/>
    <w:rsid w:val="006B0497"/>
    <w:rsid w:val="006B08CE"/>
    <w:rsid w:val="006B17DF"/>
    <w:rsid w:val="006B2804"/>
    <w:rsid w:val="006B6219"/>
    <w:rsid w:val="006C3FFA"/>
    <w:rsid w:val="006D352C"/>
    <w:rsid w:val="006D4941"/>
    <w:rsid w:val="006D4DA8"/>
    <w:rsid w:val="006D63E0"/>
    <w:rsid w:val="006E150C"/>
    <w:rsid w:val="006E4C62"/>
    <w:rsid w:val="006E5BC5"/>
    <w:rsid w:val="006E607D"/>
    <w:rsid w:val="006F09B6"/>
    <w:rsid w:val="006F3B79"/>
    <w:rsid w:val="006F4BDD"/>
    <w:rsid w:val="006F7139"/>
    <w:rsid w:val="006F79B2"/>
    <w:rsid w:val="00702CAF"/>
    <w:rsid w:val="00702D11"/>
    <w:rsid w:val="00702E3C"/>
    <w:rsid w:val="007032C9"/>
    <w:rsid w:val="00703B68"/>
    <w:rsid w:val="00705F9D"/>
    <w:rsid w:val="007102E5"/>
    <w:rsid w:val="007107D7"/>
    <w:rsid w:val="00713003"/>
    <w:rsid w:val="00716487"/>
    <w:rsid w:val="00717240"/>
    <w:rsid w:val="00720BC5"/>
    <w:rsid w:val="00720FCD"/>
    <w:rsid w:val="007222CD"/>
    <w:rsid w:val="00726A4C"/>
    <w:rsid w:val="007316CA"/>
    <w:rsid w:val="007336EF"/>
    <w:rsid w:val="00735775"/>
    <w:rsid w:val="00736C20"/>
    <w:rsid w:val="00740960"/>
    <w:rsid w:val="0074341C"/>
    <w:rsid w:val="00743E7C"/>
    <w:rsid w:val="00743FBC"/>
    <w:rsid w:val="0074484C"/>
    <w:rsid w:val="00752964"/>
    <w:rsid w:val="00757B63"/>
    <w:rsid w:val="00757C4B"/>
    <w:rsid w:val="00761082"/>
    <w:rsid w:val="007619D6"/>
    <w:rsid w:val="00762471"/>
    <w:rsid w:val="00763D81"/>
    <w:rsid w:val="007666F0"/>
    <w:rsid w:val="00766A3C"/>
    <w:rsid w:val="00766A55"/>
    <w:rsid w:val="007712E3"/>
    <w:rsid w:val="00772995"/>
    <w:rsid w:val="00772DA4"/>
    <w:rsid w:val="007730AD"/>
    <w:rsid w:val="007751B7"/>
    <w:rsid w:val="0077588B"/>
    <w:rsid w:val="00776FA1"/>
    <w:rsid w:val="0078010C"/>
    <w:rsid w:val="0078032C"/>
    <w:rsid w:val="00785182"/>
    <w:rsid w:val="00785A9D"/>
    <w:rsid w:val="00787C2B"/>
    <w:rsid w:val="00790809"/>
    <w:rsid w:val="0079436D"/>
    <w:rsid w:val="0079451B"/>
    <w:rsid w:val="007947E2"/>
    <w:rsid w:val="007A1827"/>
    <w:rsid w:val="007A4A59"/>
    <w:rsid w:val="007A5F51"/>
    <w:rsid w:val="007B0173"/>
    <w:rsid w:val="007B12F8"/>
    <w:rsid w:val="007B3AAF"/>
    <w:rsid w:val="007B4FF2"/>
    <w:rsid w:val="007B5975"/>
    <w:rsid w:val="007C14BE"/>
    <w:rsid w:val="007C1983"/>
    <w:rsid w:val="007C628B"/>
    <w:rsid w:val="007C6C52"/>
    <w:rsid w:val="007C7654"/>
    <w:rsid w:val="007D492B"/>
    <w:rsid w:val="007E31AC"/>
    <w:rsid w:val="007E3664"/>
    <w:rsid w:val="007E7EC9"/>
    <w:rsid w:val="007F25D7"/>
    <w:rsid w:val="007F30F9"/>
    <w:rsid w:val="007F558D"/>
    <w:rsid w:val="007F563F"/>
    <w:rsid w:val="007F7033"/>
    <w:rsid w:val="007F7E3B"/>
    <w:rsid w:val="00804EF0"/>
    <w:rsid w:val="00810D8C"/>
    <w:rsid w:val="0081186C"/>
    <w:rsid w:val="00814FE7"/>
    <w:rsid w:val="008165A0"/>
    <w:rsid w:val="008230B7"/>
    <w:rsid w:val="00823C88"/>
    <w:rsid w:val="0084523E"/>
    <w:rsid w:val="008459A5"/>
    <w:rsid w:val="008460C6"/>
    <w:rsid w:val="00861974"/>
    <w:rsid w:val="0086280F"/>
    <w:rsid w:val="00873619"/>
    <w:rsid w:val="008742D1"/>
    <w:rsid w:val="00882989"/>
    <w:rsid w:val="00882FB1"/>
    <w:rsid w:val="008868A5"/>
    <w:rsid w:val="00886C33"/>
    <w:rsid w:val="008877C0"/>
    <w:rsid w:val="00894307"/>
    <w:rsid w:val="008949EF"/>
    <w:rsid w:val="00895E80"/>
    <w:rsid w:val="00897431"/>
    <w:rsid w:val="008A3050"/>
    <w:rsid w:val="008A362A"/>
    <w:rsid w:val="008A49C6"/>
    <w:rsid w:val="008B07FF"/>
    <w:rsid w:val="008B56FC"/>
    <w:rsid w:val="008B5D46"/>
    <w:rsid w:val="008C4D1B"/>
    <w:rsid w:val="008C5E7F"/>
    <w:rsid w:val="008C6ACD"/>
    <w:rsid w:val="008D02A1"/>
    <w:rsid w:val="008D190C"/>
    <w:rsid w:val="008E2A6F"/>
    <w:rsid w:val="008E3625"/>
    <w:rsid w:val="008E400C"/>
    <w:rsid w:val="008E448A"/>
    <w:rsid w:val="008F0C43"/>
    <w:rsid w:val="008F3A39"/>
    <w:rsid w:val="008F592C"/>
    <w:rsid w:val="008F7036"/>
    <w:rsid w:val="00900B28"/>
    <w:rsid w:val="009032DF"/>
    <w:rsid w:val="009057FC"/>
    <w:rsid w:val="00912442"/>
    <w:rsid w:val="009175DB"/>
    <w:rsid w:val="00917925"/>
    <w:rsid w:val="0091796E"/>
    <w:rsid w:val="00917D80"/>
    <w:rsid w:val="00920492"/>
    <w:rsid w:val="00923F01"/>
    <w:rsid w:val="009260F9"/>
    <w:rsid w:val="009325B0"/>
    <w:rsid w:val="00940871"/>
    <w:rsid w:val="0094177E"/>
    <w:rsid w:val="009426EA"/>
    <w:rsid w:val="0094769F"/>
    <w:rsid w:val="0095391D"/>
    <w:rsid w:val="009545EE"/>
    <w:rsid w:val="00955B2D"/>
    <w:rsid w:val="00962072"/>
    <w:rsid w:val="00963762"/>
    <w:rsid w:val="00967552"/>
    <w:rsid w:val="0097003A"/>
    <w:rsid w:val="009754CB"/>
    <w:rsid w:val="009827DF"/>
    <w:rsid w:val="00982FAF"/>
    <w:rsid w:val="00983909"/>
    <w:rsid w:val="00983AD9"/>
    <w:rsid w:val="00983F3E"/>
    <w:rsid w:val="00985617"/>
    <w:rsid w:val="00992768"/>
    <w:rsid w:val="00993F0E"/>
    <w:rsid w:val="00997364"/>
    <w:rsid w:val="009A0A4F"/>
    <w:rsid w:val="009A1D78"/>
    <w:rsid w:val="009A642D"/>
    <w:rsid w:val="009A6903"/>
    <w:rsid w:val="009A7122"/>
    <w:rsid w:val="009B1FAA"/>
    <w:rsid w:val="009B4416"/>
    <w:rsid w:val="009B5E26"/>
    <w:rsid w:val="009C253B"/>
    <w:rsid w:val="009C2C84"/>
    <w:rsid w:val="009C3F33"/>
    <w:rsid w:val="009C657E"/>
    <w:rsid w:val="009D0BE9"/>
    <w:rsid w:val="009D187E"/>
    <w:rsid w:val="009D3556"/>
    <w:rsid w:val="009D6D90"/>
    <w:rsid w:val="009E2262"/>
    <w:rsid w:val="009E5993"/>
    <w:rsid w:val="009F0F90"/>
    <w:rsid w:val="009F129C"/>
    <w:rsid w:val="009F1D3C"/>
    <w:rsid w:val="00A00E23"/>
    <w:rsid w:val="00A03EB7"/>
    <w:rsid w:val="00A03F28"/>
    <w:rsid w:val="00A0690D"/>
    <w:rsid w:val="00A0726A"/>
    <w:rsid w:val="00A07358"/>
    <w:rsid w:val="00A074B1"/>
    <w:rsid w:val="00A10F5E"/>
    <w:rsid w:val="00A140D4"/>
    <w:rsid w:val="00A14899"/>
    <w:rsid w:val="00A20F9D"/>
    <w:rsid w:val="00A21989"/>
    <w:rsid w:val="00A224C6"/>
    <w:rsid w:val="00A22C5F"/>
    <w:rsid w:val="00A23208"/>
    <w:rsid w:val="00A34A1D"/>
    <w:rsid w:val="00A366D5"/>
    <w:rsid w:val="00A36D5C"/>
    <w:rsid w:val="00A40543"/>
    <w:rsid w:val="00A4090D"/>
    <w:rsid w:val="00A41536"/>
    <w:rsid w:val="00A42474"/>
    <w:rsid w:val="00A43B3F"/>
    <w:rsid w:val="00A5027A"/>
    <w:rsid w:val="00A51672"/>
    <w:rsid w:val="00A5340E"/>
    <w:rsid w:val="00A60F8C"/>
    <w:rsid w:val="00A627B7"/>
    <w:rsid w:val="00A63860"/>
    <w:rsid w:val="00A6392C"/>
    <w:rsid w:val="00A66925"/>
    <w:rsid w:val="00A76D9A"/>
    <w:rsid w:val="00A81DD4"/>
    <w:rsid w:val="00A831DC"/>
    <w:rsid w:val="00A841DE"/>
    <w:rsid w:val="00A859C0"/>
    <w:rsid w:val="00A87B5F"/>
    <w:rsid w:val="00A90BEE"/>
    <w:rsid w:val="00A967E8"/>
    <w:rsid w:val="00A97FFD"/>
    <w:rsid w:val="00AA08F4"/>
    <w:rsid w:val="00AA3D23"/>
    <w:rsid w:val="00AA3F78"/>
    <w:rsid w:val="00AA44BB"/>
    <w:rsid w:val="00AA7769"/>
    <w:rsid w:val="00AB093E"/>
    <w:rsid w:val="00AB2A11"/>
    <w:rsid w:val="00AB41FA"/>
    <w:rsid w:val="00AB635F"/>
    <w:rsid w:val="00AC026D"/>
    <w:rsid w:val="00AC08AF"/>
    <w:rsid w:val="00AC173C"/>
    <w:rsid w:val="00AC1855"/>
    <w:rsid w:val="00AC3832"/>
    <w:rsid w:val="00AC6CBE"/>
    <w:rsid w:val="00AC76A7"/>
    <w:rsid w:val="00AD005B"/>
    <w:rsid w:val="00AD395E"/>
    <w:rsid w:val="00AD39EC"/>
    <w:rsid w:val="00AD3BB2"/>
    <w:rsid w:val="00AD4CE7"/>
    <w:rsid w:val="00AD66E3"/>
    <w:rsid w:val="00AD6F15"/>
    <w:rsid w:val="00AE0B4B"/>
    <w:rsid w:val="00AE1904"/>
    <w:rsid w:val="00AE1CE7"/>
    <w:rsid w:val="00AE32B6"/>
    <w:rsid w:val="00AE53E5"/>
    <w:rsid w:val="00AF045C"/>
    <w:rsid w:val="00AF3D74"/>
    <w:rsid w:val="00AF6C03"/>
    <w:rsid w:val="00B001E1"/>
    <w:rsid w:val="00B00A03"/>
    <w:rsid w:val="00B049CB"/>
    <w:rsid w:val="00B06349"/>
    <w:rsid w:val="00B12946"/>
    <w:rsid w:val="00B170ED"/>
    <w:rsid w:val="00B1737C"/>
    <w:rsid w:val="00B20F7E"/>
    <w:rsid w:val="00B21DCE"/>
    <w:rsid w:val="00B250C9"/>
    <w:rsid w:val="00B26936"/>
    <w:rsid w:val="00B27A7C"/>
    <w:rsid w:val="00B31BF7"/>
    <w:rsid w:val="00B34E8A"/>
    <w:rsid w:val="00B36E04"/>
    <w:rsid w:val="00B445C0"/>
    <w:rsid w:val="00B45C3A"/>
    <w:rsid w:val="00B54878"/>
    <w:rsid w:val="00B54FE4"/>
    <w:rsid w:val="00B56957"/>
    <w:rsid w:val="00B57201"/>
    <w:rsid w:val="00B57C85"/>
    <w:rsid w:val="00B6166D"/>
    <w:rsid w:val="00B6449F"/>
    <w:rsid w:val="00B65D8C"/>
    <w:rsid w:val="00B708DD"/>
    <w:rsid w:val="00B7226A"/>
    <w:rsid w:val="00B753FD"/>
    <w:rsid w:val="00B75E54"/>
    <w:rsid w:val="00B76FD3"/>
    <w:rsid w:val="00B77C46"/>
    <w:rsid w:val="00B80BDF"/>
    <w:rsid w:val="00B80FC0"/>
    <w:rsid w:val="00B84556"/>
    <w:rsid w:val="00B84A54"/>
    <w:rsid w:val="00B922B7"/>
    <w:rsid w:val="00B935FE"/>
    <w:rsid w:val="00B9513D"/>
    <w:rsid w:val="00B97A2F"/>
    <w:rsid w:val="00BA0712"/>
    <w:rsid w:val="00BA1389"/>
    <w:rsid w:val="00BB3701"/>
    <w:rsid w:val="00BB4952"/>
    <w:rsid w:val="00BB728A"/>
    <w:rsid w:val="00BC03E2"/>
    <w:rsid w:val="00BC2333"/>
    <w:rsid w:val="00BC270F"/>
    <w:rsid w:val="00BC71D6"/>
    <w:rsid w:val="00BD1ACE"/>
    <w:rsid w:val="00BD3D7A"/>
    <w:rsid w:val="00BD4DA0"/>
    <w:rsid w:val="00BD5E41"/>
    <w:rsid w:val="00BD7693"/>
    <w:rsid w:val="00BD7EB3"/>
    <w:rsid w:val="00BE7F3A"/>
    <w:rsid w:val="00BF163D"/>
    <w:rsid w:val="00BF1D92"/>
    <w:rsid w:val="00BF5FDB"/>
    <w:rsid w:val="00C00BC4"/>
    <w:rsid w:val="00C00BF9"/>
    <w:rsid w:val="00C01765"/>
    <w:rsid w:val="00C0197A"/>
    <w:rsid w:val="00C031A7"/>
    <w:rsid w:val="00C04715"/>
    <w:rsid w:val="00C04D02"/>
    <w:rsid w:val="00C109EA"/>
    <w:rsid w:val="00C15E44"/>
    <w:rsid w:val="00C17AD5"/>
    <w:rsid w:val="00C203CA"/>
    <w:rsid w:val="00C22564"/>
    <w:rsid w:val="00C2343F"/>
    <w:rsid w:val="00C26D37"/>
    <w:rsid w:val="00C30586"/>
    <w:rsid w:val="00C30B3E"/>
    <w:rsid w:val="00C30F44"/>
    <w:rsid w:val="00C3178A"/>
    <w:rsid w:val="00C32E0A"/>
    <w:rsid w:val="00C35316"/>
    <w:rsid w:val="00C37617"/>
    <w:rsid w:val="00C41922"/>
    <w:rsid w:val="00C42BB4"/>
    <w:rsid w:val="00C460C8"/>
    <w:rsid w:val="00C50D8B"/>
    <w:rsid w:val="00C51227"/>
    <w:rsid w:val="00C52CC0"/>
    <w:rsid w:val="00C533B8"/>
    <w:rsid w:val="00C622A7"/>
    <w:rsid w:val="00C626ED"/>
    <w:rsid w:val="00C6293C"/>
    <w:rsid w:val="00C64266"/>
    <w:rsid w:val="00C70790"/>
    <w:rsid w:val="00C711CD"/>
    <w:rsid w:val="00C7298A"/>
    <w:rsid w:val="00C7643F"/>
    <w:rsid w:val="00C7687E"/>
    <w:rsid w:val="00C80F57"/>
    <w:rsid w:val="00C81A91"/>
    <w:rsid w:val="00C91432"/>
    <w:rsid w:val="00C917AB"/>
    <w:rsid w:val="00C91B19"/>
    <w:rsid w:val="00C94E82"/>
    <w:rsid w:val="00CA0561"/>
    <w:rsid w:val="00CA0A22"/>
    <w:rsid w:val="00CA18AD"/>
    <w:rsid w:val="00CA2B5A"/>
    <w:rsid w:val="00CA31EA"/>
    <w:rsid w:val="00CA59A3"/>
    <w:rsid w:val="00CA654D"/>
    <w:rsid w:val="00CB1305"/>
    <w:rsid w:val="00CB20BB"/>
    <w:rsid w:val="00CB2B49"/>
    <w:rsid w:val="00CC2385"/>
    <w:rsid w:val="00CC627F"/>
    <w:rsid w:val="00CC762A"/>
    <w:rsid w:val="00CD1398"/>
    <w:rsid w:val="00CD144D"/>
    <w:rsid w:val="00CD19BF"/>
    <w:rsid w:val="00CD34EA"/>
    <w:rsid w:val="00CD5956"/>
    <w:rsid w:val="00CE1340"/>
    <w:rsid w:val="00CE6D5B"/>
    <w:rsid w:val="00CF1FA2"/>
    <w:rsid w:val="00D000A3"/>
    <w:rsid w:val="00D028AB"/>
    <w:rsid w:val="00D05E3F"/>
    <w:rsid w:val="00D15DF0"/>
    <w:rsid w:val="00D1605B"/>
    <w:rsid w:val="00D17425"/>
    <w:rsid w:val="00D217AD"/>
    <w:rsid w:val="00D25DEE"/>
    <w:rsid w:val="00D313EF"/>
    <w:rsid w:val="00D31492"/>
    <w:rsid w:val="00D32FFA"/>
    <w:rsid w:val="00D33374"/>
    <w:rsid w:val="00D35797"/>
    <w:rsid w:val="00D367E3"/>
    <w:rsid w:val="00D443FF"/>
    <w:rsid w:val="00D45C74"/>
    <w:rsid w:val="00D468E4"/>
    <w:rsid w:val="00D50170"/>
    <w:rsid w:val="00D5342F"/>
    <w:rsid w:val="00D545AA"/>
    <w:rsid w:val="00D550D4"/>
    <w:rsid w:val="00D6230D"/>
    <w:rsid w:val="00D65BB5"/>
    <w:rsid w:val="00D712E6"/>
    <w:rsid w:val="00D7312D"/>
    <w:rsid w:val="00D77DD9"/>
    <w:rsid w:val="00D80E24"/>
    <w:rsid w:val="00D81952"/>
    <w:rsid w:val="00D81B5F"/>
    <w:rsid w:val="00D829C7"/>
    <w:rsid w:val="00D85A74"/>
    <w:rsid w:val="00D862DB"/>
    <w:rsid w:val="00D87781"/>
    <w:rsid w:val="00D952B7"/>
    <w:rsid w:val="00D96AB9"/>
    <w:rsid w:val="00D96ADC"/>
    <w:rsid w:val="00D97413"/>
    <w:rsid w:val="00DA00F7"/>
    <w:rsid w:val="00DA07DA"/>
    <w:rsid w:val="00DA0A1C"/>
    <w:rsid w:val="00DA1113"/>
    <w:rsid w:val="00DA2B83"/>
    <w:rsid w:val="00DA3251"/>
    <w:rsid w:val="00DA4EA5"/>
    <w:rsid w:val="00DB18C9"/>
    <w:rsid w:val="00DB4B39"/>
    <w:rsid w:val="00DB585F"/>
    <w:rsid w:val="00DC334E"/>
    <w:rsid w:val="00DC508E"/>
    <w:rsid w:val="00DC5153"/>
    <w:rsid w:val="00DC60D3"/>
    <w:rsid w:val="00DD2ABE"/>
    <w:rsid w:val="00DD41B0"/>
    <w:rsid w:val="00DD5C1B"/>
    <w:rsid w:val="00DE225F"/>
    <w:rsid w:val="00DE4E7C"/>
    <w:rsid w:val="00DE56E2"/>
    <w:rsid w:val="00DE58B4"/>
    <w:rsid w:val="00DE5A77"/>
    <w:rsid w:val="00DF26B8"/>
    <w:rsid w:val="00DF37DD"/>
    <w:rsid w:val="00DF3CEF"/>
    <w:rsid w:val="00DF5BDF"/>
    <w:rsid w:val="00E02272"/>
    <w:rsid w:val="00E040C0"/>
    <w:rsid w:val="00E106CB"/>
    <w:rsid w:val="00E151DD"/>
    <w:rsid w:val="00E156ED"/>
    <w:rsid w:val="00E21187"/>
    <w:rsid w:val="00E23288"/>
    <w:rsid w:val="00E24D0A"/>
    <w:rsid w:val="00E2563B"/>
    <w:rsid w:val="00E276A3"/>
    <w:rsid w:val="00E34AB2"/>
    <w:rsid w:val="00E37807"/>
    <w:rsid w:val="00E42DF3"/>
    <w:rsid w:val="00E45996"/>
    <w:rsid w:val="00E45B9C"/>
    <w:rsid w:val="00E463A7"/>
    <w:rsid w:val="00E46DE0"/>
    <w:rsid w:val="00E50F6E"/>
    <w:rsid w:val="00E54819"/>
    <w:rsid w:val="00E54C16"/>
    <w:rsid w:val="00E56402"/>
    <w:rsid w:val="00E56428"/>
    <w:rsid w:val="00E629DA"/>
    <w:rsid w:val="00E62EF0"/>
    <w:rsid w:val="00E70290"/>
    <w:rsid w:val="00E7566B"/>
    <w:rsid w:val="00E856E6"/>
    <w:rsid w:val="00E969FC"/>
    <w:rsid w:val="00EB3B03"/>
    <w:rsid w:val="00EB47F4"/>
    <w:rsid w:val="00EC4D24"/>
    <w:rsid w:val="00EC4D4E"/>
    <w:rsid w:val="00EC7471"/>
    <w:rsid w:val="00ED3C0F"/>
    <w:rsid w:val="00ED46CF"/>
    <w:rsid w:val="00ED6FBD"/>
    <w:rsid w:val="00ED6FE2"/>
    <w:rsid w:val="00EE25A9"/>
    <w:rsid w:val="00EE5521"/>
    <w:rsid w:val="00EE699D"/>
    <w:rsid w:val="00EF2F47"/>
    <w:rsid w:val="00EF406A"/>
    <w:rsid w:val="00EF6357"/>
    <w:rsid w:val="00F00FDA"/>
    <w:rsid w:val="00F0213E"/>
    <w:rsid w:val="00F02908"/>
    <w:rsid w:val="00F0342C"/>
    <w:rsid w:val="00F059C4"/>
    <w:rsid w:val="00F05C20"/>
    <w:rsid w:val="00F05C2B"/>
    <w:rsid w:val="00F11EA6"/>
    <w:rsid w:val="00F14F23"/>
    <w:rsid w:val="00F168CE"/>
    <w:rsid w:val="00F17BC4"/>
    <w:rsid w:val="00F22561"/>
    <w:rsid w:val="00F25EA9"/>
    <w:rsid w:val="00F265BF"/>
    <w:rsid w:val="00F26E22"/>
    <w:rsid w:val="00F27A0B"/>
    <w:rsid w:val="00F358E4"/>
    <w:rsid w:val="00F3608A"/>
    <w:rsid w:val="00F41360"/>
    <w:rsid w:val="00F42F0B"/>
    <w:rsid w:val="00F44EF2"/>
    <w:rsid w:val="00F51028"/>
    <w:rsid w:val="00F56F1D"/>
    <w:rsid w:val="00F613C4"/>
    <w:rsid w:val="00F63A3A"/>
    <w:rsid w:val="00F65808"/>
    <w:rsid w:val="00F67809"/>
    <w:rsid w:val="00F705CE"/>
    <w:rsid w:val="00F74A88"/>
    <w:rsid w:val="00F813E0"/>
    <w:rsid w:val="00F83BBB"/>
    <w:rsid w:val="00F904AE"/>
    <w:rsid w:val="00F95E2C"/>
    <w:rsid w:val="00FA1A9A"/>
    <w:rsid w:val="00FA2458"/>
    <w:rsid w:val="00FA2E33"/>
    <w:rsid w:val="00FA3139"/>
    <w:rsid w:val="00FA5525"/>
    <w:rsid w:val="00FA67F4"/>
    <w:rsid w:val="00FB0A29"/>
    <w:rsid w:val="00FB568B"/>
    <w:rsid w:val="00FB714C"/>
    <w:rsid w:val="00FC0A32"/>
    <w:rsid w:val="00FC2B76"/>
    <w:rsid w:val="00FC7614"/>
    <w:rsid w:val="00FD14FE"/>
    <w:rsid w:val="00FD505A"/>
    <w:rsid w:val="00FE0B47"/>
    <w:rsid w:val="00FE1F12"/>
    <w:rsid w:val="00FE359A"/>
    <w:rsid w:val="00FE3897"/>
    <w:rsid w:val="00FE6955"/>
    <w:rsid w:val="00FF12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EF91"/>
  <w15:docId w15:val="{1C706B5D-8DB1-4838-ACC2-745977A3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0093"/>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82"/>
    <w:pPr>
      <w:ind w:left="720"/>
      <w:contextualSpacing/>
    </w:pPr>
  </w:style>
  <w:style w:type="character" w:customStyle="1" w:styleId="Heading1Char">
    <w:name w:val="Heading 1 Char"/>
    <w:basedOn w:val="DefaultParagraphFont"/>
    <w:link w:val="Heading1"/>
    <w:uiPriority w:val="99"/>
    <w:rsid w:val="00230093"/>
    <w:rPr>
      <w:rFonts w:ascii="Times New Roman" w:eastAsia="Times New Roman" w:hAnsi="Times New Roman" w:cs="Times New Roman"/>
      <w:b/>
      <w:caps/>
      <w:sz w:val="24"/>
      <w:szCs w:val="20"/>
      <w:lang w:eastAsia="bg-BG"/>
    </w:rPr>
  </w:style>
  <w:style w:type="paragraph" w:styleId="BalloonText">
    <w:name w:val="Balloon Text"/>
    <w:basedOn w:val="Normal"/>
    <w:link w:val="BalloonTextChar"/>
    <w:uiPriority w:val="99"/>
    <w:semiHidden/>
    <w:unhideWhenUsed/>
    <w:rsid w:val="004D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F5"/>
    <w:rPr>
      <w:rFonts w:ascii="Tahoma" w:hAnsi="Tahoma" w:cs="Tahoma"/>
      <w:sz w:val="16"/>
      <w:szCs w:val="16"/>
    </w:rPr>
  </w:style>
  <w:style w:type="paragraph" w:styleId="Header">
    <w:name w:val="header"/>
    <w:basedOn w:val="Normal"/>
    <w:link w:val="HeaderChar"/>
    <w:uiPriority w:val="99"/>
    <w:unhideWhenUsed/>
    <w:rsid w:val="00DF5B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5BDF"/>
  </w:style>
  <w:style w:type="paragraph" w:styleId="Footer">
    <w:name w:val="footer"/>
    <w:basedOn w:val="Normal"/>
    <w:link w:val="FooterChar"/>
    <w:uiPriority w:val="99"/>
    <w:rsid w:val="00DF5BDF"/>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DF5BDF"/>
    <w:rPr>
      <w:rFonts w:ascii="Times New Roman" w:eastAsia="Times New Roman" w:hAnsi="Times New Roman" w:cs="Times New Roman"/>
      <w:sz w:val="24"/>
      <w:szCs w:val="24"/>
      <w:lang w:eastAsia="bg-BG"/>
    </w:rPr>
  </w:style>
  <w:style w:type="table" w:styleId="TableGrid">
    <w:name w:val="Table Grid"/>
    <w:basedOn w:val="TableNormal"/>
    <w:uiPriority w:val="59"/>
    <w:rsid w:val="00DF5BD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75E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5E54"/>
    <w:rPr>
      <w:rFonts w:ascii="Consolas" w:hAnsi="Consolas"/>
      <w:sz w:val="21"/>
      <w:szCs w:val="21"/>
    </w:rPr>
  </w:style>
  <w:style w:type="table" w:customStyle="1" w:styleId="TableGrid1">
    <w:name w:val="Table Grid1"/>
    <w:basedOn w:val="TableNormal"/>
    <w:next w:val="TableGrid"/>
    <w:uiPriority w:val="59"/>
    <w:rsid w:val="00B8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021D3"/>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BodyTextIndent">
    <w:name w:val="Body Text Indent"/>
    <w:basedOn w:val="Normal"/>
    <w:link w:val="BodyTextIndentChar"/>
    <w:uiPriority w:val="99"/>
    <w:unhideWhenUsed/>
    <w:rsid w:val="00AC3832"/>
    <w:pPr>
      <w:spacing w:before="120" w:after="120"/>
      <w:ind w:firstLine="360"/>
      <w:jc w:val="both"/>
    </w:pPr>
    <w:rPr>
      <w:rFonts w:ascii="Times New Roman" w:hAnsi="Times New Roman" w:cs="Times New Roman"/>
      <w:i/>
    </w:rPr>
  </w:style>
  <w:style w:type="character" w:customStyle="1" w:styleId="BodyTextIndentChar">
    <w:name w:val="Body Text Indent Char"/>
    <w:basedOn w:val="DefaultParagraphFont"/>
    <w:link w:val="BodyTextIndent"/>
    <w:uiPriority w:val="99"/>
    <w:rsid w:val="00AC3832"/>
    <w:rPr>
      <w:rFonts w:ascii="Times New Roman" w:hAnsi="Times New Roman" w:cs="Times New Roman"/>
      <w:i/>
    </w:rPr>
  </w:style>
  <w:style w:type="paragraph" w:styleId="FootnoteText">
    <w:name w:val="footnote text"/>
    <w:basedOn w:val="Normal"/>
    <w:link w:val="FootnoteTextChar"/>
    <w:uiPriority w:val="99"/>
    <w:semiHidden/>
    <w:unhideWhenUsed/>
    <w:rsid w:val="002B0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7FF"/>
    <w:rPr>
      <w:sz w:val="20"/>
      <w:szCs w:val="20"/>
    </w:rPr>
  </w:style>
  <w:style w:type="character" w:styleId="FootnoteReference">
    <w:name w:val="footnote reference"/>
    <w:basedOn w:val="DefaultParagraphFont"/>
    <w:uiPriority w:val="99"/>
    <w:semiHidden/>
    <w:unhideWhenUsed/>
    <w:rsid w:val="002B0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176">
      <w:bodyDiv w:val="1"/>
      <w:marLeft w:val="0"/>
      <w:marRight w:val="0"/>
      <w:marTop w:val="0"/>
      <w:marBottom w:val="0"/>
      <w:divBdr>
        <w:top w:val="none" w:sz="0" w:space="0" w:color="auto"/>
        <w:left w:val="none" w:sz="0" w:space="0" w:color="auto"/>
        <w:bottom w:val="none" w:sz="0" w:space="0" w:color="auto"/>
        <w:right w:val="none" w:sz="0" w:space="0" w:color="auto"/>
      </w:divBdr>
    </w:div>
    <w:div w:id="188639234">
      <w:bodyDiv w:val="1"/>
      <w:marLeft w:val="0"/>
      <w:marRight w:val="0"/>
      <w:marTop w:val="0"/>
      <w:marBottom w:val="0"/>
      <w:divBdr>
        <w:top w:val="none" w:sz="0" w:space="0" w:color="auto"/>
        <w:left w:val="none" w:sz="0" w:space="0" w:color="auto"/>
        <w:bottom w:val="none" w:sz="0" w:space="0" w:color="auto"/>
        <w:right w:val="none" w:sz="0" w:space="0" w:color="auto"/>
      </w:divBdr>
    </w:div>
    <w:div w:id="190413203">
      <w:bodyDiv w:val="1"/>
      <w:marLeft w:val="0"/>
      <w:marRight w:val="0"/>
      <w:marTop w:val="0"/>
      <w:marBottom w:val="0"/>
      <w:divBdr>
        <w:top w:val="none" w:sz="0" w:space="0" w:color="auto"/>
        <w:left w:val="none" w:sz="0" w:space="0" w:color="auto"/>
        <w:bottom w:val="none" w:sz="0" w:space="0" w:color="auto"/>
        <w:right w:val="none" w:sz="0" w:space="0" w:color="auto"/>
      </w:divBdr>
    </w:div>
    <w:div w:id="200484046">
      <w:bodyDiv w:val="1"/>
      <w:marLeft w:val="0"/>
      <w:marRight w:val="0"/>
      <w:marTop w:val="0"/>
      <w:marBottom w:val="0"/>
      <w:divBdr>
        <w:top w:val="none" w:sz="0" w:space="0" w:color="auto"/>
        <w:left w:val="none" w:sz="0" w:space="0" w:color="auto"/>
        <w:bottom w:val="none" w:sz="0" w:space="0" w:color="auto"/>
        <w:right w:val="none" w:sz="0" w:space="0" w:color="auto"/>
      </w:divBdr>
    </w:div>
    <w:div w:id="208878257">
      <w:bodyDiv w:val="1"/>
      <w:marLeft w:val="0"/>
      <w:marRight w:val="0"/>
      <w:marTop w:val="0"/>
      <w:marBottom w:val="0"/>
      <w:divBdr>
        <w:top w:val="none" w:sz="0" w:space="0" w:color="auto"/>
        <w:left w:val="none" w:sz="0" w:space="0" w:color="auto"/>
        <w:bottom w:val="none" w:sz="0" w:space="0" w:color="auto"/>
        <w:right w:val="none" w:sz="0" w:space="0" w:color="auto"/>
      </w:divBdr>
    </w:div>
    <w:div w:id="294725001">
      <w:bodyDiv w:val="1"/>
      <w:marLeft w:val="0"/>
      <w:marRight w:val="0"/>
      <w:marTop w:val="0"/>
      <w:marBottom w:val="0"/>
      <w:divBdr>
        <w:top w:val="none" w:sz="0" w:space="0" w:color="auto"/>
        <w:left w:val="none" w:sz="0" w:space="0" w:color="auto"/>
        <w:bottom w:val="none" w:sz="0" w:space="0" w:color="auto"/>
        <w:right w:val="none" w:sz="0" w:space="0" w:color="auto"/>
      </w:divBdr>
    </w:div>
    <w:div w:id="331641744">
      <w:bodyDiv w:val="1"/>
      <w:marLeft w:val="0"/>
      <w:marRight w:val="0"/>
      <w:marTop w:val="0"/>
      <w:marBottom w:val="0"/>
      <w:divBdr>
        <w:top w:val="none" w:sz="0" w:space="0" w:color="auto"/>
        <w:left w:val="none" w:sz="0" w:space="0" w:color="auto"/>
        <w:bottom w:val="none" w:sz="0" w:space="0" w:color="auto"/>
        <w:right w:val="none" w:sz="0" w:space="0" w:color="auto"/>
      </w:divBdr>
    </w:div>
    <w:div w:id="417601320">
      <w:bodyDiv w:val="1"/>
      <w:marLeft w:val="0"/>
      <w:marRight w:val="0"/>
      <w:marTop w:val="0"/>
      <w:marBottom w:val="0"/>
      <w:divBdr>
        <w:top w:val="none" w:sz="0" w:space="0" w:color="auto"/>
        <w:left w:val="none" w:sz="0" w:space="0" w:color="auto"/>
        <w:bottom w:val="none" w:sz="0" w:space="0" w:color="auto"/>
        <w:right w:val="none" w:sz="0" w:space="0" w:color="auto"/>
      </w:divBdr>
    </w:div>
    <w:div w:id="622033206">
      <w:bodyDiv w:val="1"/>
      <w:marLeft w:val="0"/>
      <w:marRight w:val="0"/>
      <w:marTop w:val="0"/>
      <w:marBottom w:val="0"/>
      <w:divBdr>
        <w:top w:val="none" w:sz="0" w:space="0" w:color="auto"/>
        <w:left w:val="none" w:sz="0" w:space="0" w:color="auto"/>
        <w:bottom w:val="none" w:sz="0" w:space="0" w:color="auto"/>
        <w:right w:val="none" w:sz="0" w:space="0" w:color="auto"/>
      </w:divBdr>
    </w:div>
    <w:div w:id="690568611">
      <w:bodyDiv w:val="1"/>
      <w:marLeft w:val="0"/>
      <w:marRight w:val="0"/>
      <w:marTop w:val="0"/>
      <w:marBottom w:val="0"/>
      <w:divBdr>
        <w:top w:val="none" w:sz="0" w:space="0" w:color="auto"/>
        <w:left w:val="none" w:sz="0" w:space="0" w:color="auto"/>
        <w:bottom w:val="none" w:sz="0" w:space="0" w:color="auto"/>
        <w:right w:val="none" w:sz="0" w:space="0" w:color="auto"/>
      </w:divBdr>
    </w:div>
    <w:div w:id="742291303">
      <w:bodyDiv w:val="1"/>
      <w:marLeft w:val="0"/>
      <w:marRight w:val="0"/>
      <w:marTop w:val="0"/>
      <w:marBottom w:val="0"/>
      <w:divBdr>
        <w:top w:val="none" w:sz="0" w:space="0" w:color="auto"/>
        <w:left w:val="none" w:sz="0" w:space="0" w:color="auto"/>
        <w:bottom w:val="none" w:sz="0" w:space="0" w:color="auto"/>
        <w:right w:val="none" w:sz="0" w:space="0" w:color="auto"/>
      </w:divBdr>
    </w:div>
    <w:div w:id="769276440">
      <w:bodyDiv w:val="1"/>
      <w:marLeft w:val="0"/>
      <w:marRight w:val="0"/>
      <w:marTop w:val="0"/>
      <w:marBottom w:val="0"/>
      <w:divBdr>
        <w:top w:val="none" w:sz="0" w:space="0" w:color="auto"/>
        <w:left w:val="none" w:sz="0" w:space="0" w:color="auto"/>
        <w:bottom w:val="none" w:sz="0" w:space="0" w:color="auto"/>
        <w:right w:val="none" w:sz="0" w:space="0" w:color="auto"/>
      </w:divBdr>
    </w:div>
    <w:div w:id="786697271">
      <w:bodyDiv w:val="1"/>
      <w:marLeft w:val="0"/>
      <w:marRight w:val="0"/>
      <w:marTop w:val="0"/>
      <w:marBottom w:val="0"/>
      <w:divBdr>
        <w:top w:val="none" w:sz="0" w:space="0" w:color="auto"/>
        <w:left w:val="none" w:sz="0" w:space="0" w:color="auto"/>
        <w:bottom w:val="none" w:sz="0" w:space="0" w:color="auto"/>
        <w:right w:val="none" w:sz="0" w:space="0" w:color="auto"/>
      </w:divBdr>
    </w:div>
    <w:div w:id="789935607">
      <w:bodyDiv w:val="1"/>
      <w:marLeft w:val="0"/>
      <w:marRight w:val="0"/>
      <w:marTop w:val="0"/>
      <w:marBottom w:val="0"/>
      <w:divBdr>
        <w:top w:val="none" w:sz="0" w:space="0" w:color="auto"/>
        <w:left w:val="none" w:sz="0" w:space="0" w:color="auto"/>
        <w:bottom w:val="none" w:sz="0" w:space="0" w:color="auto"/>
        <w:right w:val="none" w:sz="0" w:space="0" w:color="auto"/>
      </w:divBdr>
    </w:div>
    <w:div w:id="792403863">
      <w:bodyDiv w:val="1"/>
      <w:marLeft w:val="0"/>
      <w:marRight w:val="0"/>
      <w:marTop w:val="0"/>
      <w:marBottom w:val="0"/>
      <w:divBdr>
        <w:top w:val="none" w:sz="0" w:space="0" w:color="auto"/>
        <w:left w:val="none" w:sz="0" w:space="0" w:color="auto"/>
        <w:bottom w:val="none" w:sz="0" w:space="0" w:color="auto"/>
        <w:right w:val="none" w:sz="0" w:space="0" w:color="auto"/>
      </w:divBdr>
    </w:div>
    <w:div w:id="881405150">
      <w:bodyDiv w:val="1"/>
      <w:marLeft w:val="0"/>
      <w:marRight w:val="0"/>
      <w:marTop w:val="0"/>
      <w:marBottom w:val="0"/>
      <w:divBdr>
        <w:top w:val="none" w:sz="0" w:space="0" w:color="auto"/>
        <w:left w:val="none" w:sz="0" w:space="0" w:color="auto"/>
        <w:bottom w:val="none" w:sz="0" w:space="0" w:color="auto"/>
        <w:right w:val="none" w:sz="0" w:space="0" w:color="auto"/>
      </w:divBdr>
    </w:div>
    <w:div w:id="932594011">
      <w:bodyDiv w:val="1"/>
      <w:marLeft w:val="0"/>
      <w:marRight w:val="0"/>
      <w:marTop w:val="0"/>
      <w:marBottom w:val="0"/>
      <w:divBdr>
        <w:top w:val="none" w:sz="0" w:space="0" w:color="auto"/>
        <w:left w:val="none" w:sz="0" w:space="0" w:color="auto"/>
        <w:bottom w:val="none" w:sz="0" w:space="0" w:color="auto"/>
        <w:right w:val="none" w:sz="0" w:space="0" w:color="auto"/>
      </w:divBdr>
    </w:div>
    <w:div w:id="1035496640">
      <w:bodyDiv w:val="1"/>
      <w:marLeft w:val="0"/>
      <w:marRight w:val="0"/>
      <w:marTop w:val="0"/>
      <w:marBottom w:val="0"/>
      <w:divBdr>
        <w:top w:val="none" w:sz="0" w:space="0" w:color="auto"/>
        <w:left w:val="none" w:sz="0" w:space="0" w:color="auto"/>
        <w:bottom w:val="none" w:sz="0" w:space="0" w:color="auto"/>
        <w:right w:val="none" w:sz="0" w:space="0" w:color="auto"/>
      </w:divBdr>
    </w:div>
    <w:div w:id="1130899741">
      <w:bodyDiv w:val="1"/>
      <w:marLeft w:val="0"/>
      <w:marRight w:val="0"/>
      <w:marTop w:val="0"/>
      <w:marBottom w:val="0"/>
      <w:divBdr>
        <w:top w:val="none" w:sz="0" w:space="0" w:color="auto"/>
        <w:left w:val="none" w:sz="0" w:space="0" w:color="auto"/>
        <w:bottom w:val="none" w:sz="0" w:space="0" w:color="auto"/>
        <w:right w:val="none" w:sz="0" w:space="0" w:color="auto"/>
      </w:divBdr>
    </w:div>
    <w:div w:id="1230113844">
      <w:bodyDiv w:val="1"/>
      <w:marLeft w:val="0"/>
      <w:marRight w:val="0"/>
      <w:marTop w:val="0"/>
      <w:marBottom w:val="0"/>
      <w:divBdr>
        <w:top w:val="none" w:sz="0" w:space="0" w:color="auto"/>
        <w:left w:val="none" w:sz="0" w:space="0" w:color="auto"/>
        <w:bottom w:val="none" w:sz="0" w:space="0" w:color="auto"/>
        <w:right w:val="none" w:sz="0" w:space="0" w:color="auto"/>
      </w:divBdr>
    </w:div>
    <w:div w:id="1232275561">
      <w:bodyDiv w:val="1"/>
      <w:marLeft w:val="0"/>
      <w:marRight w:val="0"/>
      <w:marTop w:val="0"/>
      <w:marBottom w:val="0"/>
      <w:divBdr>
        <w:top w:val="none" w:sz="0" w:space="0" w:color="auto"/>
        <w:left w:val="none" w:sz="0" w:space="0" w:color="auto"/>
        <w:bottom w:val="none" w:sz="0" w:space="0" w:color="auto"/>
        <w:right w:val="none" w:sz="0" w:space="0" w:color="auto"/>
      </w:divBdr>
    </w:div>
    <w:div w:id="1238638464">
      <w:bodyDiv w:val="1"/>
      <w:marLeft w:val="0"/>
      <w:marRight w:val="0"/>
      <w:marTop w:val="0"/>
      <w:marBottom w:val="0"/>
      <w:divBdr>
        <w:top w:val="none" w:sz="0" w:space="0" w:color="auto"/>
        <w:left w:val="none" w:sz="0" w:space="0" w:color="auto"/>
        <w:bottom w:val="none" w:sz="0" w:space="0" w:color="auto"/>
        <w:right w:val="none" w:sz="0" w:space="0" w:color="auto"/>
      </w:divBdr>
    </w:div>
    <w:div w:id="1273395667">
      <w:bodyDiv w:val="1"/>
      <w:marLeft w:val="0"/>
      <w:marRight w:val="0"/>
      <w:marTop w:val="0"/>
      <w:marBottom w:val="0"/>
      <w:divBdr>
        <w:top w:val="none" w:sz="0" w:space="0" w:color="auto"/>
        <w:left w:val="none" w:sz="0" w:space="0" w:color="auto"/>
        <w:bottom w:val="none" w:sz="0" w:space="0" w:color="auto"/>
        <w:right w:val="none" w:sz="0" w:space="0" w:color="auto"/>
      </w:divBdr>
    </w:div>
    <w:div w:id="1312757669">
      <w:bodyDiv w:val="1"/>
      <w:marLeft w:val="0"/>
      <w:marRight w:val="0"/>
      <w:marTop w:val="0"/>
      <w:marBottom w:val="0"/>
      <w:divBdr>
        <w:top w:val="none" w:sz="0" w:space="0" w:color="auto"/>
        <w:left w:val="none" w:sz="0" w:space="0" w:color="auto"/>
        <w:bottom w:val="none" w:sz="0" w:space="0" w:color="auto"/>
        <w:right w:val="none" w:sz="0" w:space="0" w:color="auto"/>
      </w:divBdr>
    </w:div>
    <w:div w:id="1319117085">
      <w:bodyDiv w:val="1"/>
      <w:marLeft w:val="0"/>
      <w:marRight w:val="0"/>
      <w:marTop w:val="0"/>
      <w:marBottom w:val="0"/>
      <w:divBdr>
        <w:top w:val="none" w:sz="0" w:space="0" w:color="auto"/>
        <w:left w:val="none" w:sz="0" w:space="0" w:color="auto"/>
        <w:bottom w:val="none" w:sz="0" w:space="0" w:color="auto"/>
        <w:right w:val="none" w:sz="0" w:space="0" w:color="auto"/>
      </w:divBdr>
    </w:div>
    <w:div w:id="1347363889">
      <w:bodyDiv w:val="1"/>
      <w:marLeft w:val="0"/>
      <w:marRight w:val="0"/>
      <w:marTop w:val="0"/>
      <w:marBottom w:val="0"/>
      <w:divBdr>
        <w:top w:val="none" w:sz="0" w:space="0" w:color="auto"/>
        <w:left w:val="none" w:sz="0" w:space="0" w:color="auto"/>
        <w:bottom w:val="none" w:sz="0" w:space="0" w:color="auto"/>
        <w:right w:val="none" w:sz="0" w:space="0" w:color="auto"/>
      </w:divBdr>
    </w:div>
    <w:div w:id="1401976562">
      <w:bodyDiv w:val="1"/>
      <w:marLeft w:val="0"/>
      <w:marRight w:val="0"/>
      <w:marTop w:val="0"/>
      <w:marBottom w:val="0"/>
      <w:divBdr>
        <w:top w:val="none" w:sz="0" w:space="0" w:color="auto"/>
        <w:left w:val="none" w:sz="0" w:space="0" w:color="auto"/>
        <w:bottom w:val="none" w:sz="0" w:space="0" w:color="auto"/>
        <w:right w:val="none" w:sz="0" w:space="0" w:color="auto"/>
      </w:divBdr>
    </w:div>
    <w:div w:id="1522281747">
      <w:bodyDiv w:val="1"/>
      <w:marLeft w:val="0"/>
      <w:marRight w:val="0"/>
      <w:marTop w:val="0"/>
      <w:marBottom w:val="0"/>
      <w:divBdr>
        <w:top w:val="none" w:sz="0" w:space="0" w:color="auto"/>
        <w:left w:val="none" w:sz="0" w:space="0" w:color="auto"/>
        <w:bottom w:val="none" w:sz="0" w:space="0" w:color="auto"/>
        <w:right w:val="none" w:sz="0" w:space="0" w:color="auto"/>
      </w:divBdr>
    </w:div>
    <w:div w:id="1524858696">
      <w:bodyDiv w:val="1"/>
      <w:marLeft w:val="0"/>
      <w:marRight w:val="0"/>
      <w:marTop w:val="0"/>
      <w:marBottom w:val="0"/>
      <w:divBdr>
        <w:top w:val="none" w:sz="0" w:space="0" w:color="auto"/>
        <w:left w:val="none" w:sz="0" w:space="0" w:color="auto"/>
        <w:bottom w:val="none" w:sz="0" w:space="0" w:color="auto"/>
        <w:right w:val="none" w:sz="0" w:space="0" w:color="auto"/>
      </w:divBdr>
    </w:div>
    <w:div w:id="1570723610">
      <w:bodyDiv w:val="1"/>
      <w:marLeft w:val="0"/>
      <w:marRight w:val="0"/>
      <w:marTop w:val="0"/>
      <w:marBottom w:val="0"/>
      <w:divBdr>
        <w:top w:val="none" w:sz="0" w:space="0" w:color="auto"/>
        <w:left w:val="none" w:sz="0" w:space="0" w:color="auto"/>
        <w:bottom w:val="none" w:sz="0" w:space="0" w:color="auto"/>
        <w:right w:val="none" w:sz="0" w:space="0" w:color="auto"/>
      </w:divBdr>
    </w:div>
    <w:div w:id="1588880203">
      <w:bodyDiv w:val="1"/>
      <w:marLeft w:val="0"/>
      <w:marRight w:val="0"/>
      <w:marTop w:val="0"/>
      <w:marBottom w:val="0"/>
      <w:divBdr>
        <w:top w:val="none" w:sz="0" w:space="0" w:color="auto"/>
        <w:left w:val="none" w:sz="0" w:space="0" w:color="auto"/>
        <w:bottom w:val="none" w:sz="0" w:space="0" w:color="auto"/>
        <w:right w:val="none" w:sz="0" w:space="0" w:color="auto"/>
      </w:divBdr>
    </w:div>
    <w:div w:id="1680349070">
      <w:bodyDiv w:val="1"/>
      <w:marLeft w:val="0"/>
      <w:marRight w:val="0"/>
      <w:marTop w:val="0"/>
      <w:marBottom w:val="0"/>
      <w:divBdr>
        <w:top w:val="none" w:sz="0" w:space="0" w:color="auto"/>
        <w:left w:val="none" w:sz="0" w:space="0" w:color="auto"/>
        <w:bottom w:val="none" w:sz="0" w:space="0" w:color="auto"/>
        <w:right w:val="none" w:sz="0" w:space="0" w:color="auto"/>
      </w:divBdr>
    </w:div>
    <w:div w:id="1710181164">
      <w:bodyDiv w:val="1"/>
      <w:marLeft w:val="0"/>
      <w:marRight w:val="0"/>
      <w:marTop w:val="0"/>
      <w:marBottom w:val="0"/>
      <w:divBdr>
        <w:top w:val="none" w:sz="0" w:space="0" w:color="auto"/>
        <w:left w:val="none" w:sz="0" w:space="0" w:color="auto"/>
        <w:bottom w:val="none" w:sz="0" w:space="0" w:color="auto"/>
        <w:right w:val="none" w:sz="0" w:space="0" w:color="auto"/>
      </w:divBdr>
    </w:div>
    <w:div w:id="1785343232">
      <w:bodyDiv w:val="1"/>
      <w:marLeft w:val="0"/>
      <w:marRight w:val="0"/>
      <w:marTop w:val="0"/>
      <w:marBottom w:val="0"/>
      <w:divBdr>
        <w:top w:val="none" w:sz="0" w:space="0" w:color="auto"/>
        <w:left w:val="none" w:sz="0" w:space="0" w:color="auto"/>
        <w:bottom w:val="none" w:sz="0" w:space="0" w:color="auto"/>
        <w:right w:val="none" w:sz="0" w:space="0" w:color="auto"/>
      </w:divBdr>
    </w:div>
    <w:div w:id="1787308457">
      <w:bodyDiv w:val="1"/>
      <w:marLeft w:val="0"/>
      <w:marRight w:val="0"/>
      <w:marTop w:val="0"/>
      <w:marBottom w:val="0"/>
      <w:divBdr>
        <w:top w:val="none" w:sz="0" w:space="0" w:color="auto"/>
        <w:left w:val="none" w:sz="0" w:space="0" w:color="auto"/>
        <w:bottom w:val="none" w:sz="0" w:space="0" w:color="auto"/>
        <w:right w:val="none" w:sz="0" w:space="0" w:color="auto"/>
      </w:divBdr>
    </w:div>
    <w:div w:id="1823958193">
      <w:bodyDiv w:val="1"/>
      <w:marLeft w:val="0"/>
      <w:marRight w:val="0"/>
      <w:marTop w:val="0"/>
      <w:marBottom w:val="0"/>
      <w:divBdr>
        <w:top w:val="none" w:sz="0" w:space="0" w:color="auto"/>
        <w:left w:val="none" w:sz="0" w:space="0" w:color="auto"/>
        <w:bottom w:val="none" w:sz="0" w:space="0" w:color="auto"/>
        <w:right w:val="none" w:sz="0" w:space="0" w:color="auto"/>
      </w:divBdr>
    </w:div>
    <w:div w:id="1853756599">
      <w:bodyDiv w:val="1"/>
      <w:marLeft w:val="0"/>
      <w:marRight w:val="0"/>
      <w:marTop w:val="0"/>
      <w:marBottom w:val="0"/>
      <w:divBdr>
        <w:top w:val="none" w:sz="0" w:space="0" w:color="auto"/>
        <w:left w:val="none" w:sz="0" w:space="0" w:color="auto"/>
        <w:bottom w:val="none" w:sz="0" w:space="0" w:color="auto"/>
        <w:right w:val="none" w:sz="0" w:space="0" w:color="auto"/>
      </w:divBdr>
    </w:div>
    <w:div w:id="1877504486">
      <w:bodyDiv w:val="1"/>
      <w:marLeft w:val="0"/>
      <w:marRight w:val="0"/>
      <w:marTop w:val="0"/>
      <w:marBottom w:val="0"/>
      <w:divBdr>
        <w:top w:val="none" w:sz="0" w:space="0" w:color="auto"/>
        <w:left w:val="none" w:sz="0" w:space="0" w:color="auto"/>
        <w:bottom w:val="none" w:sz="0" w:space="0" w:color="auto"/>
        <w:right w:val="none" w:sz="0" w:space="0" w:color="auto"/>
      </w:divBdr>
    </w:div>
    <w:div w:id="2020037679">
      <w:bodyDiv w:val="1"/>
      <w:marLeft w:val="0"/>
      <w:marRight w:val="0"/>
      <w:marTop w:val="0"/>
      <w:marBottom w:val="0"/>
      <w:divBdr>
        <w:top w:val="none" w:sz="0" w:space="0" w:color="auto"/>
        <w:left w:val="none" w:sz="0" w:space="0" w:color="auto"/>
        <w:bottom w:val="none" w:sz="0" w:space="0" w:color="auto"/>
        <w:right w:val="none" w:sz="0" w:space="0" w:color="auto"/>
      </w:divBdr>
    </w:div>
    <w:div w:id="2023974393">
      <w:bodyDiv w:val="1"/>
      <w:marLeft w:val="0"/>
      <w:marRight w:val="0"/>
      <w:marTop w:val="0"/>
      <w:marBottom w:val="0"/>
      <w:divBdr>
        <w:top w:val="none" w:sz="0" w:space="0" w:color="auto"/>
        <w:left w:val="none" w:sz="0" w:space="0" w:color="auto"/>
        <w:bottom w:val="none" w:sz="0" w:space="0" w:color="auto"/>
        <w:right w:val="none" w:sz="0" w:space="0" w:color="auto"/>
      </w:divBdr>
    </w:div>
    <w:div w:id="20543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38F6-B730-4481-8DCE-720575C7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Нургалиев</dc:creator>
  <cp:lastModifiedBy>MARIYA ALENTINOVA HRISTOVA</cp:lastModifiedBy>
  <cp:revision>20</cp:revision>
  <cp:lastPrinted>2019-02-26T07:40:00Z</cp:lastPrinted>
  <dcterms:created xsi:type="dcterms:W3CDTF">2022-01-31T11:42:00Z</dcterms:created>
  <dcterms:modified xsi:type="dcterms:W3CDTF">2022-02-01T08:11:00Z</dcterms:modified>
</cp:coreProperties>
</file>